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3C" w14:textId="625474E5" w:rsidR="00832333" w:rsidRPr="00F66630" w:rsidRDefault="00832333" w:rsidP="007B2E47">
      <w:pPr>
        <w:pStyle w:val="Minh"/>
        <w:numPr>
          <w:ilvl w:val="0"/>
          <w:numId w:val="0"/>
        </w:numPr>
        <w:spacing w:before="0" w:after="0"/>
        <w:jc w:val="center"/>
        <w:rPr>
          <w:b/>
          <w:sz w:val="30"/>
          <w:szCs w:val="30"/>
        </w:rPr>
      </w:pPr>
      <w:r w:rsidRPr="00F66630">
        <w:rPr>
          <w:b/>
          <w:sz w:val="30"/>
          <w:szCs w:val="30"/>
        </w:rPr>
        <w:t xml:space="preserve">State Transparency, Accountability and Sustainability (SFTAS) </w:t>
      </w:r>
    </w:p>
    <w:p w14:paraId="05804693" w14:textId="4230244C" w:rsidR="00832333" w:rsidRPr="00F66630" w:rsidRDefault="00832333" w:rsidP="007B2E47">
      <w:pPr>
        <w:pStyle w:val="Minh"/>
        <w:numPr>
          <w:ilvl w:val="0"/>
          <w:numId w:val="0"/>
        </w:numPr>
        <w:spacing w:before="0" w:after="0"/>
        <w:jc w:val="center"/>
        <w:rPr>
          <w:b/>
          <w:sz w:val="30"/>
          <w:szCs w:val="30"/>
        </w:rPr>
      </w:pPr>
      <w:r w:rsidRPr="00F66630">
        <w:rPr>
          <w:b/>
          <w:sz w:val="30"/>
          <w:szCs w:val="30"/>
        </w:rPr>
        <w:t>Program for Results (PforR)</w:t>
      </w:r>
    </w:p>
    <w:p w14:paraId="0FBD83F9" w14:textId="409BB8FD" w:rsidR="00832333" w:rsidRDefault="00881F25" w:rsidP="007B2E47">
      <w:pPr>
        <w:pStyle w:val="Minh"/>
        <w:numPr>
          <w:ilvl w:val="0"/>
          <w:numId w:val="0"/>
        </w:numPr>
        <w:spacing w:before="0" w:after="0"/>
        <w:jc w:val="center"/>
        <w:rPr>
          <w:b/>
          <w:sz w:val="30"/>
          <w:szCs w:val="30"/>
        </w:rPr>
      </w:pPr>
      <w:r w:rsidRPr="00F66630">
        <w:rPr>
          <w:b/>
          <w:sz w:val="30"/>
          <w:szCs w:val="30"/>
        </w:rPr>
        <w:t>The</w:t>
      </w:r>
      <w:r w:rsidR="00832333" w:rsidRPr="00F66630">
        <w:rPr>
          <w:b/>
          <w:sz w:val="30"/>
          <w:szCs w:val="30"/>
        </w:rPr>
        <w:t xml:space="preserve"> Eligibility Criteria</w:t>
      </w:r>
      <w:r w:rsidR="0060662B" w:rsidRPr="00F66630">
        <w:rPr>
          <w:b/>
          <w:sz w:val="30"/>
          <w:szCs w:val="30"/>
        </w:rPr>
        <w:t>,</w:t>
      </w:r>
      <w:r w:rsidR="00A27B26" w:rsidRPr="00F66630">
        <w:rPr>
          <w:b/>
          <w:sz w:val="30"/>
          <w:szCs w:val="30"/>
        </w:rPr>
        <w:t xml:space="preserve"> </w:t>
      </w:r>
      <w:r w:rsidR="00832333" w:rsidRPr="00F66630">
        <w:rPr>
          <w:b/>
          <w:sz w:val="30"/>
          <w:szCs w:val="30"/>
        </w:rPr>
        <w:t>Disbursement-Linked Indicators and Results</w:t>
      </w:r>
      <w:r w:rsidR="002336ED" w:rsidRPr="00F66630">
        <w:rPr>
          <w:b/>
          <w:sz w:val="30"/>
          <w:szCs w:val="30"/>
        </w:rPr>
        <w:t>,</w:t>
      </w:r>
      <w:r w:rsidR="00A27B26" w:rsidRPr="00F66630">
        <w:rPr>
          <w:b/>
          <w:sz w:val="30"/>
          <w:szCs w:val="30"/>
        </w:rPr>
        <w:t xml:space="preserve"> </w:t>
      </w:r>
      <w:r w:rsidR="00900501" w:rsidRPr="00F66630">
        <w:rPr>
          <w:b/>
          <w:sz w:val="30"/>
          <w:szCs w:val="30"/>
        </w:rPr>
        <w:t xml:space="preserve">IVA Procedures </w:t>
      </w:r>
      <w:r w:rsidR="00832333" w:rsidRPr="00F66630">
        <w:rPr>
          <w:b/>
          <w:sz w:val="30"/>
          <w:szCs w:val="30"/>
        </w:rPr>
        <w:t>Verification Protocol</w:t>
      </w:r>
    </w:p>
    <w:p w14:paraId="31148B6B" w14:textId="77777777" w:rsidR="00F66630" w:rsidRPr="00F66630" w:rsidRDefault="00F66630" w:rsidP="007B2E47">
      <w:pPr>
        <w:pStyle w:val="Minh"/>
        <w:numPr>
          <w:ilvl w:val="0"/>
          <w:numId w:val="0"/>
        </w:numPr>
        <w:spacing w:before="0" w:after="0"/>
        <w:jc w:val="center"/>
        <w:rPr>
          <w:b/>
          <w:sz w:val="30"/>
          <w:szCs w:val="30"/>
        </w:rPr>
      </w:pPr>
    </w:p>
    <w:p w14:paraId="2A99138F" w14:textId="3762A684" w:rsidR="00832333" w:rsidRPr="00F66630" w:rsidRDefault="00832333" w:rsidP="00A9594C">
      <w:pPr>
        <w:pStyle w:val="Minh"/>
        <w:numPr>
          <w:ilvl w:val="0"/>
          <w:numId w:val="0"/>
        </w:numPr>
        <w:spacing w:before="0"/>
        <w:jc w:val="center"/>
        <w:rPr>
          <w:sz w:val="30"/>
          <w:szCs w:val="30"/>
        </w:rPr>
      </w:pPr>
      <w:r w:rsidRPr="00F66630">
        <w:rPr>
          <w:sz w:val="30"/>
          <w:szCs w:val="30"/>
        </w:rPr>
        <w:t xml:space="preserve">Version </w:t>
      </w:r>
      <w:r w:rsidR="00F66630">
        <w:rPr>
          <w:sz w:val="30"/>
          <w:szCs w:val="30"/>
        </w:rPr>
        <w:t>9</w:t>
      </w:r>
      <w:r w:rsidRPr="00F66630">
        <w:rPr>
          <w:sz w:val="30"/>
          <w:szCs w:val="30"/>
        </w:rPr>
        <w:t>.</w:t>
      </w:r>
      <w:r w:rsidR="00F11853" w:rsidRPr="00F66630">
        <w:rPr>
          <w:sz w:val="30"/>
          <w:szCs w:val="30"/>
        </w:rPr>
        <w:t>0</w:t>
      </w:r>
      <w:r w:rsidR="008C0A86" w:rsidRPr="00F66630">
        <w:rPr>
          <w:sz w:val="30"/>
          <w:szCs w:val="30"/>
        </w:rPr>
        <w:t xml:space="preserve"> </w:t>
      </w:r>
      <w:r w:rsidRPr="00F66630">
        <w:rPr>
          <w:sz w:val="30"/>
          <w:szCs w:val="30"/>
        </w:rPr>
        <w:t xml:space="preserve">| </w:t>
      </w:r>
      <w:r w:rsidR="00F66630">
        <w:rPr>
          <w:sz w:val="30"/>
          <w:szCs w:val="30"/>
        </w:rPr>
        <w:t>June</w:t>
      </w:r>
      <w:r w:rsidR="00F66630" w:rsidRPr="00F66630">
        <w:rPr>
          <w:sz w:val="30"/>
          <w:szCs w:val="30"/>
        </w:rPr>
        <w:t xml:space="preserve"> </w:t>
      </w:r>
      <w:r w:rsidR="00F66630">
        <w:rPr>
          <w:sz w:val="30"/>
          <w:szCs w:val="30"/>
        </w:rPr>
        <w:t>2022</w:t>
      </w:r>
    </w:p>
    <w:p w14:paraId="42D53CE2" w14:textId="5E9AEA05" w:rsidR="00342A13" w:rsidRPr="00F66630" w:rsidRDefault="00342A13" w:rsidP="00733A96">
      <w:pPr>
        <w:pStyle w:val="Minh"/>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rPr>
          <w:b/>
          <w:bCs/>
        </w:rPr>
      </w:pPr>
      <w:r w:rsidRPr="00F66630">
        <w:rPr>
          <w:b/>
          <w:bCs/>
        </w:rPr>
        <w:t xml:space="preserve">Notes on Version </w:t>
      </w:r>
      <w:r w:rsidR="00F66630">
        <w:rPr>
          <w:b/>
          <w:bCs/>
        </w:rPr>
        <w:t>9</w:t>
      </w:r>
      <w:r w:rsidR="0005684B" w:rsidRPr="00F66630">
        <w:rPr>
          <w:b/>
          <w:bCs/>
        </w:rPr>
        <w:t>.0</w:t>
      </w:r>
    </w:p>
    <w:p w14:paraId="0092CDF1" w14:textId="7810BA5F" w:rsidR="001D0A1C" w:rsidRPr="00F66630" w:rsidRDefault="001D0A1C" w:rsidP="00733A96">
      <w:pPr>
        <w:pStyle w:val="Minh"/>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r w:rsidRPr="00F66630">
        <w:t xml:space="preserve">This version applies for the assessment </w:t>
      </w:r>
      <w:r w:rsidR="00342A13" w:rsidRPr="00F66630">
        <w:t xml:space="preserve">for </w:t>
      </w:r>
      <w:r w:rsidR="002A5E1B" w:rsidRPr="00F66630">
        <w:t xml:space="preserve">the Program </w:t>
      </w:r>
      <w:r w:rsidR="00D25BB6" w:rsidRPr="00F66630">
        <w:t xml:space="preserve">DLRs </w:t>
      </w:r>
      <w:r w:rsidR="00E71809" w:rsidRPr="00F66630">
        <w:t xml:space="preserve">for </w:t>
      </w:r>
      <w:r w:rsidR="00D25BB6" w:rsidRPr="00F66630">
        <w:t xml:space="preserve">2021 </w:t>
      </w:r>
      <w:r w:rsidRPr="00F66630">
        <w:t>until further notice</w:t>
      </w:r>
      <w:r w:rsidR="0046452A" w:rsidRPr="00F66630">
        <w:t>.</w:t>
      </w:r>
    </w:p>
    <w:p w14:paraId="0DD1A8AB" w14:textId="1F7D563C" w:rsidR="00E71809" w:rsidRPr="00F66630" w:rsidRDefault="0046452A" w:rsidP="00733A96">
      <w:pPr>
        <w:pStyle w:val="Minh"/>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r w:rsidRPr="00F66630">
        <w:t xml:space="preserve">The </w:t>
      </w:r>
      <w:r w:rsidR="00B66BF0" w:rsidRPr="00F66630">
        <w:t xml:space="preserve">key </w:t>
      </w:r>
      <w:r w:rsidRPr="00F66630">
        <w:t>changes</w:t>
      </w:r>
      <w:r w:rsidR="0076089F" w:rsidRPr="00F66630">
        <w:t xml:space="preserve"> in Version </w:t>
      </w:r>
      <w:r w:rsidR="00612F78">
        <w:t>9</w:t>
      </w:r>
      <w:r w:rsidR="00F11853" w:rsidRPr="00F66630">
        <w:t>.0</w:t>
      </w:r>
      <w:r w:rsidR="008C0A86" w:rsidRPr="00F66630">
        <w:t xml:space="preserve"> </w:t>
      </w:r>
      <w:r w:rsidR="007A6106" w:rsidRPr="00F66630">
        <w:t>and highlighted in yellow in the document</w:t>
      </w:r>
      <w:r w:rsidR="0076089F" w:rsidRPr="00F66630">
        <w:t xml:space="preserve"> compared to </w:t>
      </w:r>
      <w:r w:rsidRPr="00F66630">
        <w:t xml:space="preserve">Version </w:t>
      </w:r>
      <w:r w:rsidR="00612F78">
        <w:t>8</w:t>
      </w:r>
      <w:r w:rsidRPr="00F66630">
        <w:t>.0 (</w:t>
      </w:r>
      <w:r w:rsidR="00612F78">
        <w:t>October</w:t>
      </w:r>
      <w:r w:rsidR="00612F78" w:rsidRPr="00F66630">
        <w:t xml:space="preserve"> </w:t>
      </w:r>
      <w:r w:rsidR="00717A36" w:rsidRPr="00F66630">
        <w:t>2021</w:t>
      </w:r>
      <w:r w:rsidRPr="00F66630">
        <w:t>) are</w:t>
      </w:r>
      <w:r w:rsidR="007B2CBC" w:rsidRPr="00F66630">
        <w:t xml:space="preserve">: </w:t>
      </w:r>
    </w:p>
    <w:p w14:paraId="492F6BB3" w14:textId="77777777" w:rsidR="00733A96" w:rsidRPr="00F66630" w:rsidRDefault="00733A96" w:rsidP="00733A96">
      <w:pPr>
        <w:pStyle w:val="Minh"/>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p>
    <w:p w14:paraId="2725C00E" w14:textId="2C641291" w:rsidR="001B177B" w:rsidRDefault="00E71809" w:rsidP="00733A96">
      <w:pPr>
        <w:pStyle w:val="Minh"/>
        <w:numPr>
          <w:ilvl w:val="0"/>
          <w:numId w:val="44"/>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r w:rsidRPr="00F66630">
        <w:t>Original DLIs</w:t>
      </w:r>
      <w:r w:rsidR="0076089F" w:rsidRPr="00F66630">
        <w:t>*</w:t>
      </w:r>
      <w:r w:rsidR="00E205B9" w:rsidRPr="00F66630">
        <w:t>*</w:t>
      </w:r>
      <w:r w:rsidRPr="00F66630">
        <w:t>:</w:t>
      </w:r>
      <w:r w:rsidR="001B177B" w:rsidRPr="00F66630">
        <w:t xml:space="preserve"> </w:t>
      </w:r>
    </w:p>
    <w:p w14:paraId="1BE9889D" w14:textId="29C0159C" w:rsidR="00D941BB" w:rsidRPr="003016C4" w:rsidRDefault="00D941BB" w:rsidP="00D941BB">
      <w:pPr>
        <w:pStyle w:val="Minh"/>
        <w:numPr>
          <w:ilvl w:val="0"/>
          <w:numId w:val="86"/>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rPr>
          <w:highlight w:val="yellow"/>
        </w:rPr>
      </w:pPr>
      <w:r w:rsidRPr="003016C4">
        <w:rPr>
          <w:highlight w:val="yellow"/>
        </w:rPr>
        <w:t xml:space="preserve">DLR 6.2: </w:t>
      </w:r>
      <w:r w:rsidR="00FA57EC" w:rsidRPr="003016C4">
        <w:rPr>
          <w:highlight w:val="yellow"/>
        </w:rPr>
        <w:t>Clarified the date of implementation of the DLR</w:t>
      </w:r>
      <w:r w:rsidRPr="003016C4">
        <w:rPr>
          <w:highlight w:val="yellow"/>
        </w:rPr>
        <w:t>.</w:t>
      </w:r>
    </w:p>
    <w:p w14:paraId="638FBA43" w14:textId="080BAA08" w:rsidR="00D941BB" w:rsidRPr="003016C4" w:rsidRDefault="00D941BB" w:rsidP="00733A96">
      <w:pPr>
        <w:pStyle w:val="Minh"/>
        <w:numPr>
          <w:ilvl w:val="0"/>
          <w:numId w:val="86"/>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rPr>
          <w:i/>
          <w:iCs/>
          <w:highlight w:val="yellow"/>
        </w:rPr>
      </w:pPr>
      <w:r w:rsidRPr="003016C4">
        <w:rPr>
          <w:highlight w:val="yellow"/>
        </w:rPr>
        <w:t>DLR 7.2: The DLR definition – the requirement to report the debt to GDP ratio was removed because most states do not have actual GDP data and rather used estimates.</w:t>
      </w:r>
    </w:p>
    <w:p w14:paraId="2C75D180" w14:textId="77777777" w:rsidR="00733A96" w:rsidRPr="00F66630" w:rsidRDefault="00733A96" w:rsidP="00733A96">
      <w:pPr>
        <w:pStyle w:val="Minh"/>
        <w:numPr>
          <w:ilvl w:val="0"/>
          <w:numId w:val="0"/>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p>
    <w:p w14:paraId="728BFAC3" w14:textId="0EDE93DF" w:rsidR="00FF29D1" w:rsidRPr="00F66630" w:rsidRDefault="00E71809" w:rsidP="00733A96">
      <w:pPr>
        <w:pStyle w:val="Minh"/>
        <w:numPr>
          <w:ilvl w:val="0"/>
          <w:numId w:val="44"/>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pPr>
      <w:r w:rsidRPr="00F66630">
        <w:t>New DLIs</w:t>
      </w:r>
      <w:r w:rsidR="0076089F" w:rsidRPr="00F66630">
        <w:t>**</w:t>
      </w:r>
      <w:r w:rsidR="00E205B9" w:rsidRPr="00F66630">
        <w:t>*</w:t>
      </w:r>
      <w:r w:rsidR="0076089F" w:rsidRPr="00F66630">
        <w:t xml:space="preserve">: </w:t>
      </w:r>
    </w:p>
    <w:p w14:paraId="24E6BC20" w14:textId="0754E507" w:rsidR="001E7574" w:rsidRPr="003016C4" w:rsidRDefault="001E7574" w:rsidP="000B1CB6">
      <w:pPr>
        <w:pStyle w:val="Minh"/>
        <w:numPr>
          <w:ilvl w:val="0"/>
          <w:numId w:val="92"/>
        </w:numPr>
        <w:pBdr>
          <w:top w:val="single" w:sz="4" w:space="1" w:color="auto"/>
          <w:left w:val="single" w:sz="4" w:space="4" w:color="auto"/>
          <w:bottom w:val="single" w:sz="4" w:space="1" w:color="auto"/>
          <w:right w:val="single" w:sz="4" w:space="4" w:color="auto"/>
        </w:pBdr>
        <w:shd w:val="clear" w:color="auto" w:fill="EAF1DD" w:themeFill="accent3" w:themeFillTint="33"/>
        <w:spacing w:before="0" w:after="0"/>
        <w:jc w:val="left"/>
        <w:rPr>
          <w:highlight w:val="yellow"/>
        </w:rPr>
      </w:pPr>
      <w:r w:rsidRPr="003016C4">
        <w:rPr>
          <w:highlight w:val="yellow"/>
        </w:rPr>
        <w:t>DLR 1</w:t>
      </w:r>
      <w:r w:rsidR="00267377" w:rsidRPr="003016C4">
        <w:rPr>
          <w:highlight w:val="yellow"/>
        </w:rPr>
        <w:t>1.3</w:t>
      </w:r>
      <w:r w:rsidRPr="003016C4">
        <w:rPr>
          <w:highlight w:val="yellow"/>
        </w:rPr>
        <w:t xml:space="preserve">: </w:t>
      </w:r>
      <w:r w:rsidR="009879D9" w:rsidRPr="003016C4">
        <w:rPr>
          <w:highlight w:val="yellow"/>
        </w:rPr>
        <w:t>The</w:t>
      </w:r>
      <w:r w:rsidR="005A00C0" w:rsidRPr="003016C4">
        <w:rPr>
          <w:highlight w:val="yellow"/>
        </w:rPr>
        <w:t xml:space="preserve"> DLR was made scalable and </w:t>
      </w:r>
      <w:r w:rsidR="009879D9" w:rsidRPr="003016C4">
        <w:rPr>
          <w:highlight w:val="yellow"/>
        </w:rPr>
        <w:t>definition and/or IVA procedures</w:t>
      </w:r>
      <w:r w:rsidR="005A00C0" w:rsidRPr="003016C4">
        <w:rPr>
          <w:highlight w:val="yellow"/>
        </w:rPr>
        <w:t xml:space="preserve"> have been amended with minor edits for clarifications</w:t>
      </w:r>
    </w:p>
    <w:p w14:paraId="01F5A30F" w14:textId="77777777" w:rsidR="00E205B9" w:rsidRPr="00F66630" w:rsidRDefault="00E205B9" w:rsidP="00733A9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ascii="Times New Roman" w:hAnsi="Times New Roman" w:cs="Times New Roman"/>
          <w:sz w:val="24"/>
          <w:szCs w:val="24"/>
        </w:rPr>
      </w:pPr>
    </w:p>
    <w:p w14:paraId="56C31A4B" w14:textId="0BDB9527" w:rsidR="00537064" w:rsidRPr="00F66630" w:rsidRDefault="00194C06" w:rsidP="00733A9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ascii="Times New Roman" w:hAnsi="Times New Roman" w:cs="Times New Roman"/>
        </w:rPr>
      </w:pPr>
      <w:r w:rsidRPr="00F66630">
        <w:rPr>
          <w:rFonts w:ascii="Times New Roman" w:hAnsi="Times New Roman" w:cs="Times New Roman"/>
        </w:rPr>
        <w:t xml:space="preserve">*Original DLIs refer to the 9 </w:t>
      </w:r>
      <w:r w:rsidR="00DC4776" w:rsidRPr="00F66630">
        <w:rPr>
          <w:rFonts w:ascii="Times New Roman" w:hAnsi="Times New Roman" w:cs="Times New Roman"/>
        </w:rPr>
        <w:t>disbursement-linked indicators drawn from the 22-point Fiscal Sustainability Plan and Open Government Partnership</w:t>
      </w:r>
      <w:r w:rsidR="005F5E85" w:rsidRPr="00F66630">
        <w:rPr>
          <w:rFonts w:ascii="Times New Roman" w:hAnsi="Times New Roman" w:cs="Times New Roman"/>
        </w:rPr>
        <w:t xml:space="preserve"> </w:t>
      </w:r>
      <w:r w:rsidR="00C0133A" w:rsidRPr="00F66630">
        <w:rPr>
          <w:rFonts w:ascii="Times New Roman" w:hAnsi="Times New Roman" w:cs="Times New Roman"/>
        </w:rPr>
        <w:t>N</w:t>
      </w:r>
      <w:r w:rsidR="005F5E85" w:rsidRPr="00F66630">
        <w:rPr>
          <w:rFonts w:ascii="Times New Roman" w:hAnsi="Times New Roman" w:cs="Times New Roman"/>
        </w:rPr>
        <w:t xml:space="preserve">ational </w:t>
      </w:r>
      <w:r w:rsidR="00C0133A" w:rsidRPr="00F66630">
        <w:rPr>
          <w:rFonts w:ascii="Times New Roman" w:hAnsi="Times New Roman" w:cs="Times New Roman"/>
        </w:rPr>
        <w:t>A</w:t>
      </w:r>
      <w:r w:rsidR="005F5E85" w:rsidRPr="00F66630">
        <w:rPr>
          <w:rFonts w:ascii="Times New Roman" w:hAnsi="Times New Roman" w:cs="Times New Roman"/>
        </w:rPr>
        <w:t xml:space="preserve">ction </w:t>
      </w:r>
      <w:r w:rsidR="00C0133A" w:rsidRPr="00F66630">
        <w:rPr>
          <w:rFonts w:ascii="Times New Roman" w:hAnsi="Times New Roman" w:cs="Times New Roman"/>
        </w:rPr>
        <w:t>P</w:t>
      </w:r>
      <w:r w:rsidR="005F5E85" w:rsidRPr="00F66630">
        <w:rPr>
          <w:rFonts w:ascii="Times New Roman" w:hAnsi="Times New Roman" w:cs="Times New Roman"/>
        </w:rPr>
        <w:t>lan</w:t>
      </w:r>
      <w:r w:rsidRPr="00F66630">
        <w:rPr>
          <w:rFonts w:ascii="Times New Roman" w:hAnsi="Times New Roman" w:cs="Times New Roman"/>
        </w:rPr>
        <w:t xml:space="preserve"> </w:t>
      </w:r>
      <w:r w:rsidR="005F5E85" w:rsidRPr="00F66630">
        <w:rPr>
          <w:rFonts w:ascii="Times New Roman" w:hAnsi="Times New Roman" w:cs="Times New Roman"/>
        </w:rPr>
        <w:t xml:space="preserve">which were included </w:t>
      </w:r>
      <w:r w:rsidR="007E504E" w:rsidRPr="00F66630">
        <w:rPr>
          <w:rFonts w:ascii="Times New Roman" w:hAnsi="Times New Roman" w:cs="Times New Roman"/>
        </w:rPr>
        <w:t xml:space="preserve">in </w:t>
      </w:r>
      <w:r w:rsidR="003F6A85" w:rsidRPr="00F66630">
        <w:rPr>
          <w:rFonts w:ascii="Times New Roman" w:hAnsi="Times New Roman" w:cs="Times New Roman"/>
        </w:rPr>
        <w:t xml:space="preserve">the SFTAS Program </w:t>
      </w:r>
      <w:r w:rsidR="00537064" w:rsidRPr="00F66630">
        <w:rPr>
          <w:rFonts w:ascii="Times New Roman" w:hAnsi="Times New Roman" w:cs="Times New Roman"/>
        </w:rPr>
        <w:t xml:space="preserve">at </w:t>
      </w:r>
      <w:r w:rsidR="005F5E85" w:rsidRPr="00F66630">
        <w:rPr>
          <w:rFonts w:ascii="Times New Roman" w:hAnsi="Times New Roman" w:cs="Times New Roman"/>
        </w:rPr>
        <w:t>Board Approval in June 2018.</w:t>
      </w:r>
      <w:r w:rsidR="00537064" w:rsidRPr="00F66630">
        <w:rPr>
          <w:rFonts w:ascii="Times New Roman" w:hAnsi="Times New Roman" w:cs="Times New Roman"/>
        </w:rPr>
        <w:t xml:space="preserve"> </w:t>
      </w:r>
    </w:p>
    <w:p w14:paraId="086ADD3F" w14:textId="77777777" w:rsidR="006E7269" w:rsidRPr="00F66630" w:rsidRDefault="006E7269" w:rsidP="00733A9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ascii="Times New Roman" w:hAnsi="Times New Roman" w:cs="Times New Roman"/>
        </w:rPr>
      </w:pPr>
    </w:p>
    <w:p w14:paraId="5B0EF671" w14:textId="15CBDF90" w:rsidR="00342A13" w:rsidRPr="00F66630" w:rsidRDefault="00537064" w:rsidP="00733A9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cstheme="minorHAnsi"/>
        </w:rPr>
      </w:pPr>
      <w:r w:rsidRPr="00F66630">
        <w:rPr>
          <w:rFonts w:ascii="Times New Roman" w:hAnsi="Times New Roman" w:cs="Times New Roman"/>
        </w:rPr>
        <w:t>*</w:t>
      </w:r>
      <w:r w:rsidR="0076089F" w:rsidRPr="00F66630">
        <w:rPr>
          <w:rFonts w:ascii="Times New Roman" w:hAnsi="Times New Roman" w:cs="Times New Roman"/>
        </w:rPr>
        <w:t>*</w:t>
      </w:r>
      <w:r w:rsidRPr="00F66630">
        <w:rPr>
          <w:rFonts w:ascii="Times New Roman" w:hAnsi="Times New Roman" w:cs="Times New Roman"/>
        </w:rPr>
        <w:t xml:space="preserve">New DLIs refer to the </w:t>
      </w:r>
      <w:r w:rsidR="0076089F" w:rsidRPr="00F66630">
        <w:rPr>
          <w:rFonts w:ascii="Times New Roman" w:hAnsi="Times New Roman" w:cs="Times New Roman"/>
        </w:rPr>
        <w:t xml:space="preserve">4 </w:t>
      </w:r>
      <w:r w:rsidR="005F5E85" w:rsidRPr="00F66630">
        <w:rPr>
          <w:rFonts w:ascii="Times New Roman" w:hAnsi="Times New Roman" w:cs="Times New Roman"/>
        </w:rPr>
        <w:t xml:space="preserve">disbursement-linked indicators </w:t>
      </w:r>
      <w:r w:rsidR="00DC4776" w:rsidRPr="00F66630">
        <w:rPr>
          <w:rFonts w:ascii="Times New Roman" w:hAnsi="Times New Roman" w:cs="Times New Roman"/>
        </w:rPr>
        <w:t>added to the SFTAS Program</w:t>
      </w:r>
      <w:r w:rsidR="00715F78" w:rsidRPr="00F66630">
        <w:rPr>
          <w:rFonts w:ascii="Times New Roman" w:hAnsi="Times New Roman" w:cs="Times New Roman"/>
        </w:rPr>
        <w:t xml:space="preserve"> through Program Restructuring </w:t>
      </w:r>
      <w:r w:rsidR="00C52AE2" w:rsidRPr="00F66630">
        <w:rPr>
          <w:rFonts w:ascii="Times New Roman" w:hAnsi="Times New Roman" w:cs="Times New Roman"/>
        </w:rPr>
        <w:t>for which amendment to the Financing Agreement was signed on October 13,</w:t>
      </w:r>
      <w:r w:rsidR="00715F78" w:rsidRPr="00F66630">
        <w:rPr>
          <w:rFonts w:ascii="Times New Roman" w:hAnsi="Times New Roman" w:cs="Times New Roman"/>
        </w:rPr>
        <w:t xml:space="preserve"> 2020</w:t>
      </w:r>
      <w:r w:rsidR="00030B71" w:rsidRPr="00F66630">
        <w:rPr>
          <w:rFonts w:ascii="Times New Roman" w:hAnsi="Times New Roman" w:cs="Times New Roman"/>
        </w:rPr>
        <w:t xml:space="preserve">. These </w:t>
      </w:r>
      <w:r w:rsidR="00D336DC" w:rsidRPr="00F66630">
        <w:rPr>
          <w:rFonts w:ascii="Times New Roman" w:hAnsi="Times New Roman" w:cs="Times New Roman"/>
        </w:rPr>
        <w:t xml:space="preserve">DLIs support States to </w:t>
      </w:r>
      <w:r w:rsidR="0076089F" w:rsidRPr="00F66630">
        <w:rPr>
          <w:rFonts w:ascii="Times New Roman" w:hAnsi="Times New Roman" w:cs="Times New Roman"/>
        </w:rPr>
        <w:t>implement state-level fiscal measures in the National Economic Council (NEC) COVID-19 Plan</w:t>
      </w:r>
      <w:r w:rsidR="0076089F" w:rsidRPr="00F66630">
        <w:rPr>
          <w:rStyle w:val="FootnoteReference"/>
          <w:rFonts w:ascii="Times New Roman" w:hAnsi="Times New Roman" w:cs="Times New Roman"/>
          <w:bCs/>
        </w:rPr>
        <w:footnoteReference w:id="2"/>
      </w:r>
      <w:r w:rsidR="0076089F" w:rsidRPr="00F66630">
        <w:rPr>
          <w:rFonts w:ascii="Times New Roman" w:hAnsi="Times New Roman" w:cs="Times New Roman"/>
        </w:rPr>
        <w:t xml:space="preserve"> which support States to respond to the </w:t>
      </w:r>
      <w:r w:rsidR="00D336DC" w:rsidRPr="00F66630">
        <w:rPr>
          <w:rFonts w:ascii="Times New Roman" w:hAnsi="Times New Roman" w:cs="Times New Roman"/>
        </w:rPr>
        <w:t xml:space="preserve">COVID-19 pandemic in a fiscally transparent, </w:t>
      </w:r>
      <w:proofErr w:type="gramStart"/>
      <w:r w:rsidR="00D336DC" w:rsidRPr="00F66630">
        <w:rPr>
          <w:rFonts w:ascii="Times New Roman" w:hAnsi="Times New Roman" w:cs="Times New Roman"/>
        </w:rPr>
        <w:t>accountable</w:t>
      </w:r>
      <w:proofErr w:type="gramEnd"/>
      <w:r w:rsidR="00D336DC" w:rsidRPr="00F66630">
        <w:rPr>
          <w:rFonts w:ascii="Times New Roman" w:hAnsi="Times New Roman" w:cs="Times New Roman"/>
        </w:rPr>
        <w:t xml:space="preserve"> and sustainable manner.</w:t>
      </w:r>
      <w:r w:rsidR="00342A13" w:rsidRPr="00F66630">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1992400157"/>
        <w:docPartObj>
          <w:docPartGallery w:val="Table of Contents"/>
          <w:docPartUnique/>
        </w:docPartObj>
      </w:sdtPr>
      <w:sdtEndPr>
        <w:rPr>
          <w:rFonts w:cstheme="minorHAnsi"/>
          <w:noProof/>
          <w:sz w:val="24"/>
          <w:szCs w:val="24"/>
        </w:rPr>
      </w:sdtEndPr>
      <w:sdtContent>
        <w:p w14:paraId="48E3487D" w14:textId="09BDCF80" w:rsidR="00BE535C" w:rsidRPr="00F66630" w:rsidRDefault="00832333" w:rsidP="00061DB2">
          <w:pPr>
            <w:pStyle w:val="TOCHeading"/>
            <w:tabs>
              <w:tab w:val="left" w:pos="12134"/>
            </w:tabs>
            <w:rPr>
              <w:rFonts w:ascii="Times New Roman" w:hAnsi="Times New Roman" w:cs="Times New Roman"/>
              <w:sz w:val="22"/>
              <w:szCs w:val="22"/>
            </w:rPr>
          </w:pPr>
          <w:r w:rsidRPr="00F66630">
            <w:rPr>
              <w:rFonts w:ascii="Times New Roman" w:hAnsi="Times New Roman" w:cs="Times New Roman"/>
              <w:sz w:val="22"/>
              <w:szCs w:val="22"/>
            </w:rPr>
            <w:t xml:space="preserve">Table of </w:t>
          </w:r>
          <w:r w:rsidR="00BE535C" w:rsidRPr="00F66630">
            <w:rPr>
              <w:rFonts w:ascii="Times New Roman" w:hAnsi="Times New Roman" w:cs="Times New Roman"/>
              <w:sz w:val="22"/>
              <w:szCs w:val="22"/>
            </w:rPr>
            <w:t>Contents</w:t>
          </w:r>
          <w:r w:rsidR="00061DB2">
            <w:rPr>
              <w:rFonts w:ascii="Times New Roman" w:hAnsi="Times New Roman" w:cs="Times New Roman"/>
              <w:sz w:val="22"/>
              <w:szCs w:val="22"/>
            </w:rPr>
            <w:tab/>
          </w:r>
        </w:p>
        <w:p w14:paraId="0E6543AE" w14:textId="59AF32DD" w:rsidR="007068FA" w:rsidRDefault="00BE535C">
          <w:pPr>
            <w:pStyle w:val="TOC1"/>
            <w:tabs>
              <w:tab w:val="left" w:pos="440"/>
            </w:tabs>
            <w:rPr>
              <w:rFonts w:eastAsiaTheme="minorEastAsia"/>
              <w:b w:val="0"/>
              <w:bCs w:val="0"/>
              <w:noProof/>
              <w:sz w:val="22"/>
              <w:szCs w:val="22"/>
            </w:rPr>
          </w:pPr>
          <w:r w:rsidRPr="00F66630">
            <w:rPr>
              <w:rFonts w:ascii="Times New Roman" w:hAnsi="Times New Roman" w:cs="Times New Roman"/>
              <w:sz w:val="22"/>
              <w:szCs w:val="22"/>
            </w:rPr>
            <w:fldChar w:fldCharType="begin"/>
          </w:r>
          <w:r w:rsidRPr="00F66630">
            <w:rPr>
              <w:rFonts w:ascii="Times New Roman" w:hAnsi="Times New Roman" w:cs="Times New Roman"/>
              <w:sz w:val="22"/>
              <w:szCs w:val="22"/>
            </w:rPr>
            <w:instrText xml:space="preserve"> TOC \o "1-3" \h \z \u </w:instrText>
          </w:r>
          <w:r w:rsidRPr="00F66630">
            <w:rPr>
              <w:rFonts w:ascii="Times New Roman" w:hAnsi="Times New Roman" w:cs="Times New Roman"/>
              <w:sz w:val="22"/>
              <w:szCs w:val="22"/>
            </w:rPr>
            <w:fldChar w:fldCharType="separate"/>
          </w:r>
          <w:hyperlink w:anchor="_Toc107345837" w:history="1">
            <w:r w:rsidR="007068FA" w:rsidRPr="00CE4D03">
              <w:rPr>
                <w:rStyle w:val="Hyperlink"/>
                <w:rFonts w:ascii="Symbol" w:hAnsi="Symbol"/>
                <w:noProof/>
              </w:rPr>
              <w:t></w:t>
            </w:r>
            <w:r w:rsidR="007068FA">
              <w:rPr>
                <w:rFonts w:eastAsiaTheme="minorEastAsia"/>
                <w:b w:val="0"/>
                <w:bCs w:val="0"/>
                <w:noProof/>
                <w:sz w:val="22"/>
                <w:szCs w:val="22"/>
              </w:rPr>
              <w:tab/>
            </w:r>
            <w:r w:rsidR="007068FA" w:rsidRPr="00CE4D03">
              <w:rPr>
                <w:rStyle w:val="Hyperlink"/>
                <w:noProof/>
              </w:rPr>
              <w:t>ORIGINAL DISBURSEMENT-LINKED INDICATORS (DLIs) AND ELIGIBLITY CRITERIA (EC)</w:t>
            </w:r>
            <w:r w:rsidR="007068FA">
              <w:rPr>
                <w:noProof/>
                <w:webHidden/>
              </w:rPr>
              <w:tab/>
            </w:r>
            <w:r w:rsidR="007068FA">
              <w:rPr>
                <w:noProof/>
                <w:webHidden/>
              </w:rPr>
              <w:fldChar w:fldCharType="begin"/>
            </w:r>
            <w:r w:rsidR="007068FA">
              <w:rPr>
                <w:noProof/>
                <w:webHidden/>
              </w:rPr>
              <w:instrText xml:space="preserve"> PAGEREF _Toc107345837 \h </w:instrText>
            </w:r>
            <w:r w:rsidR="007068FA">
              <w:rPr>
                <w:noProof/>
                <w:webHidden/>
              </w:rPr>
            </w:r>
            <w:r w:rsidR="007068FA">
              <w:rPr>
                <w:noProof/>
                <w:webHidden/>
              </w:rPr>
              <w:fldChar w:fldCharType="separate"/>
            </w:r>
            <w:r w:rsidR="00A11F6A">
              <w:rPr>
                <w:noProof/>
                <w:webHidden/>
              </w:rPr>
              <w:t>4</w:t>
            </w:r>
            <w:r w:rsidR="007068FA">
              <w:rPr>
                <w:noProof/>
                <w:webHidden/>
              </w:rPr>
              <w:fldChar w:fldCharType="end"/>
            </w:r>
          </w:hyperlink>
        </w:p>
        <w:p w14:paraId="5DE218BD" w14:textId="68BC0950" w:rsidR="007068FA" w:rsidRDefault="00CC72F2">
          <w:pPr>
            <w:pStyle w:val="TOC3"/>
            <w:tabs>
              <w:tab w:val="left" w:pos="880"/>
              <w:tab w:val="right" w:leader="dot" w:pos="12950"/>
            </w:tabs>
            <w:rPr>
              <w:rFonts w:eastAsiaTheme="minorEastAsia"/>
              <w:noProof/>
              <w:sz w:val="22"/>
              <w:szCs w:val="22"/>
            </w:rPr>
          </w:pPr>
          <w:hyperlink w:anchor="_Toc107345838" w:history="1">
            <w:r w:rsidR="007068FA" w:rsidRPr="00CE4D03">
              <w:rPr>
                <w:rStyle w:val="Hyperlink"/>
                <w:b/>
                <w:noProof/>
              </w:rPr>
              <w:t>I.</w:t>
            </w:r>
            <w:r w:rsidR="007068FA">
              <w:rPr>
                <w:rFonts w:eastAsiaTheme="minorEastAsia"/>
                <w:noProof/>
                <w:sz w:val="22"/>
                <w:szCs w:val="22"/>
              </w:rPr>
              <w:tab/>
            </w:r>
            <w:r w:rsidR="007068FA" w:rsidRPr="00CE4D03">
              <w:rPr>
                <w:rStyle w:val="Hyperlink"/>
                <w:b/>
                <w:noProof/>
              </w:rPr>
              <w:t>Eligibility Criteria (EC) for ORIGINAL Disbursement-Linked Indicators (DLI)</w:t>
            </w:r>
            <w:r w:rsidR="007068FA">
              <w:rPr>
                <w:noProof/>
                <w:webHidden/>
              </w:rPr>
              <w:tab/>
            </w:r>
            <w:r w:rsidR="007068FA">
              <w:rPr>
                <w:noProof/>
                <w:webHidden/>
              </w:rPr>
              <w:fldChar w:fldCharType="begin"/>
            </w:r>
            <w:r w:rsidR="007068FA">
              <w:rPr>
                <w:noProof/>
                <w:webHidden/>
              </w:rPr>
              <w:instrText xml:space="preserve"> PAGEREF _Toc107345838 \h </w:instrText>
            </w:r>
            <w:r w:rsidR="007068FA">
              <w:rPr>
                <w:noProof/>
                <w:webHidden/>
              </w:rPr>
            </w:r>
            <w:r w:rsidR="007068FA">
              <w:rPr>
                <w:noProof/>
                <w:webHidden/>
              </w:rPr>
              <w:fldChar w:fldCharType="separate"/>
            </w:r>
            <w:r w:rsidR="00A11F6A">
              <w:rPr>
                <w:noProof/>
                <w:webHidden/>
              </w:rPr>
              <w:t>4</w:t>
            </w:r>
            <w:r w:rsidR="007068FA">
              <w:rPr>
                <w:noProof/>
                <w:webHidden/>
              </w:rPr>
              <w:fldChar w:fldCharType="end"/>
            </w:r>
          </w:hyperlink>
        </w:p>
        <w:p w14:paraId="45DC0325" w14:textId="6C043343" w:rsidR="007068FA" w:rsidRDefault="00CC72F2">
          <w:pPr>
            <w:pStyle w:val="TOC3"/>
            <w:tabs>
              <w:tab w:val="left" w:pos="880"/>
              <w:tab w:val="right" w:leader="dot" w:pos="12950"/>
            </w:tabs>
            <w:rPr>
              <w:rFonts w:eastAsiaTheme="minorEastAsia"/>
              <w:noProof/>
              <w:sz w:val="22"/>
              <w:szCs w:val="22"/>
            </w:rPr>
          </w:pPr>
          <w:hyperlink w:anchor="_Toc107345839" w:history="1">
            <w:r w:rsidR="007068FA" w:rsidRPr="00CE4D03">
              <w:rPr>
                <w:rStyle w:val="Hyperlink"/>
                <w:b/>
                <w:noProof/>
              </w:rPr>
              <w:t>II.</w:t>
            </w:r>
            <w:r w:rsidR="007068FA">
              <w:rPr>
                <w:rFonts w:eastAsiaTheme="minorEastAsia"/>
                <w:noProof/>
                <w:sz w:val="22"/>
                <w:szCs w:val="22"/>
              </w:rPr>
              <w:tab/>
            </w:r>
            <w:r w:rsidR="007068FA" w:rsidRPr="00CE4D03">
              <w:rPr>
                <w:rStyle w:val="Hyperlink"/>
                <w:b/>
                <w:noProof/>
              </w:rPr>
              <w:t>ORIGINAL Disbursement-Linked Indicators (DLI) Matrix</w:t>
            </w:r>
            <w:r w:rsidR="007068FA">
              <w:rPr>
                <w:noProof/>
                <w:webHidden/>
              </w:rPr>
              <w:tab/>
            </w:r>
            <w:r w:rsidR="007068FA">
              <w:rPr>
                <w:noProof/>
                <w:webHidden/>
              </w:rPr>
              <w:fldChar w:fldCharType="begin"/>
            </w:r>
            <w:r w:rsidR="007068FA">
              <w:rPr>
                <w:noProof/>
                <w:webHidden/>
              </w:rPr>
              <w:instrText xml:space="preserve"> PAGEREF _Toc107345839 \h </w:instrText>
            </w:r>
            <w:r w:rsidR="007068FA">
              <w:rPr>
                <w:noProof/>
                <w:webHidden/>
              </w:rPr>
            </w:r>
            <w:r w:rsidR="007068FA">
              <w:rPr>
                <w:noProof/>
                <w:webHidden/>
              </w:rPr>
              <w:fldChar w:fldCharType="separate"/>
            </w:r>
            <w:r w:rsidR="00A11F6A">
              <w:rPr>
                <w:noProof/>
                <w:webHidden/>
              </w:rPr>
              <w:t>5</w:t>
            </w:r>
            <w:r w:rsidR="007068FA">
              <w:rPr>
                <w:noProof/>
                <w:webHidden/>
              </w:rPr>
              <w:fldChar w:fldCharType="end"/>
            </w:r>
          </w:hyperlink>
        </w:p>
        <w:p w14:paraId="24717F48" w14:textId="53F2330A" w:rsidR="007068FA" w:rsidRDefault="00CC72F2">
          <w:pPr>
            <w:pStyle w:val="TOC1"/>
            <w:tabs>
              <w:tab w:val="left" w:pos="440"/>
            </w:tabs>
            <w:rPr>
              <w:rFonts w:eastAsiaTheme="minorEastAsia"/>
              <w:b w:val="0"/>
              <w:bCs w:val="0"/>
              <w:noProof/>
              <w:sz w:val="22"/>
              <w:szCs w:val="22"/>
            </w:rPr>
          </w:pPr>
          <w:hyperlink w:anchor="_Toc107345840" w:history="1">
            <w:r w:rsidR="007068FA" w:rsidRPr="00CE4D03">
              <w:rPr>
                <w:rStyle w:val="Hyperlink"/>
                <w:rFonts w:ascii="Symbol" w:hAnsi="Symbol"/>
                <w:noProof/>
              </w:rPr>
              <w:t></w:t>
            </w:r>
            <w:r w:rsidR="007068FA">
              <w:rPr>
                <w:rFonts w:eastAsiaTheme="minorEastAsia"/>
                <w:b w:val="0"/>
                <w:bCs w:val="0"/>
                <w:noProof/>
                <w:sz w:val="22"/>
                <w:szCs w:val="22"/>
              </w:rPr>
              <w:tab/>
            </w:r>
            <w:r w:rsidR="007068FA" w:rsidRPr="00CE4D03">
              <w:rPr>
                <w:rStyle w:val="Hyperlink"/>
                <w:noProof/>
              </w:rPr>
              <w:t>NEW DISBURSEMENT-LINKED INDICATORS (DLIs) AND ELIGIBLITY CRITERIA (EC)</w:t>
            </w:r>
            <w:r w:rsidR="007068FA">
              <w:rPr>
                <w:noProof/>
                <w:webHidden/>
              </w:rPr>
              <w:tab/>
            </w:r>
            <w:r w:rsidR="007068FA">
              <w:rPr>
                <w:noProof/>
                <w:webHidden/>
              </w:rPr>
              <w:fldChar w:fldCharType="begin"/>
            </w:r>
            <w:r w:rsidR="007068FA">
              <w:rPr>
                <w:noProof/>
                <w:webHidden/>
              </w:rPr>
              <w:instrText xml:space="preserve"> PAGEREF _Toc107345840 \h </w:instrText>
            </w:r>
            <w:r w:rsidR="007068FA">
              <w:rPr>
                <w:noProof/>
                <w:webHidden/>
              </w:rPr>
            </w:r>
            <w:r w:rsidR="007068FA">
              <w:rPr>
                <w:noProof/>
                <w:webHidden/>
              </w:rPr>
              <w:fldChar w:fldCharType="separate"/>
            </w:r>
            <w:r w:rsidR="00A11F6A">
              <w:rPr>
                <w:noProof/>
                <w:webHidden/>
              </w:rPr>
              <w:t>12</w:t>
            </w:r>
            <w:r w:rsidR="007068FA">
              <w:rPr>
                <w:noProof/>
                <w:webHidden/>
              </w:rPr>
              <w:fldChar w:fldCharType="end"/>
            </w:r>
          </w:hyperlink>
        </w:p>
        <w:p w14:paraId="312CA2A8" w14:textId="55AFDB63" w:rsidR="007068FA" w:rsidRDefault="00CC72F2">
          <w:pPr>
            <w:pStyle w:val="TOC3"/>
            <w:tabs>
              <w:tab w:val="left" w:pos="880"/>
              <w:tab w:val="right" w:leader="dot" w:pos="12950"/>
            </w:tabs>
            <w:rPr>
              <w:rFonts w:eastAsiaTheme="minorEastAsia"/>
              <w:noProof/>
              <w:sz w:val="22"/>
              <w:szCs w:val="22"/>
            </w:rPr>
          </w:pPr>
          <w:hyperlink w:anchor="_Toc107345841" w:history="1">
            <w:r w:rsidR="007068FA" w:rsidRPr="00CE4D03">
              <w:rPr>
                <w:rStyle w:val="Hyperlink"/>
                <w:b/>
                <w:noProof/>
              </w:rPr>
              <w:t>I.</w:t>
            </w:r>
            <w:r w:rsidR="007068FA">
              <w:rPr>
                <w:rFonts w:eastAsiaTheme="minorEastAsia"/>
                <w:noProof/>
                <w:sz w:val="22"/>
                <w:szCs w:val="22"/>
              </w:rPr>
              <w:tab/>
            </w:r>
            <w:r w:rsidR="007068FA" w:rsidRPr="00CE4D03">
              <w:rPr>
                <w:rStyle w:val="Hyperlink"/>
                <w:b/>
                <w:noProof/>
              </w:rPr>
              <w:t>Numbering of New Disbursement-Linked Indicators (DLI)</w:t>
            </w:r>
            <w:r w:rsidR="007068FA">
              <w:rPr>
                <w:noProof/>
                <w:webHidden/>
              </w:rPr>
              <w:tab/>
            </w:r>
            <w:r w:rsidR="007068FA">
              <w:rPr>
                <w:noProof/>
                <w:webHidden/>
              </w:rPr>
              <w:fldChar w:fldCharType="begin"/>
            </w:r>
            <w:r w:rsidR="007068FA">
              <w:rPr>
                <w:noProof/>
                <w:webHidden/>
              </w:rPr>
              <w:instrText xml:space="preserve"> PAGEREF _Toc107345841 \h </w:instrText>
            </w:r>
            <w:r w:rsidR="007068FA">
              <w:rPr>
                <w:noProof/>
                <w:webHidden/>
              </w:rPr>
            </w:r>
            <w:r w:rsidR="007068FA">
              <w:rPr>
                <w:noProof/>
                <w:webHidden/>
              </w:rPr>
              <w:fldChar w:fldCharType="separate"/>
            </w:r>
            <w:r w:rsidR="00A11F6A">
              <w:rPr>
                <w:noProof/>
                <w:webHidden/>
              </w:rPr>
              <w:t>12</w:t>
            </w:r>
            <w:r w:rsidR="007068FA">
              <w:rPr>
                <w:noProof/>
                <w:webHidden/>
              </w:rPr>
              <w:fldChar w:fldCharType="end"/>
            </w:r>
          </w:hyperlink>
        </w:p>
        <w:p w14:paraId="1868D509" w14:textId="137459CD" w:rsidR="007068FA" w:rsidRDefault="00CC72F2">
          <w:pPr>
            <w:pStyle w:val="TOC3"/>
            <w:tabs>
              <w:tab w:val="left" w:pos="880"/>
              <w:tab w:val="right" w:leader="dot" w:pos="12950"/>
            </w:tabs>
            <w:rPr>
              <w:rFonts w:eastAsiaTheme="minorEastAsia"/>
              <w:noProof/>
              <w:sz w:val="22"/>
              <w:szCs w:val="22"/>
            </w:rPr>
          </w:pPr>
          <w:hyperlink w:anchor="_Toc107345842" w:history="1">
            <w:r w:rsidR="007068FA" w:rsidRPr="00CE4D03">
              <w:rPr>
                <w:rStyle w:val="Hyperlink"/>
                <w:b/>
                <w:noProof/>
              </w:rPr>
              <w:t>II.</w:t>
            </w:r>
            <w:r w:rsidR="007068FA">
              <w:rPr>
                <w:rFonts w:eastAsiaTheme="minorEastAsia"/>
                <w:noProof/>
                <w:sz w:val="22"/>
                <w:szCs w:val="22"/>
              </w:rPr>
              <w:tab/>
            </w:r>
            <w:r w:rsidR="007068FA" w:rsidRPr="00CE4D03">
              <w:rPr>
                <w:rStyle w:val="Hyperlink"/>
                <w:b/>
                <w:noProof/>
              </w:rPr>
              <w:t>Eligibility Criteria (EC) for the NEW Disbursement-Linked Indicators (DLI)</w:t>
            </w:r>
            <w:r w:rsidR="007068FA">
              <w:rPr>
                <w:noProof/>
                <w:webHidden/>
              </w:rPr>
              <w:tab/>
            </w:r>
            <w:r w:rsidR="007068FA">
              <w:rPr>
                <w:noProof/>
                <w:webHidden/>
              </w:rPr>
              <w:fldChar w:fldCharType="begin"/>
            </w:r>
            <w:r w:rsidR="007068FA">
              <w:rPr>
                <w:noProof/>
                <w:webHidden/>
              </w:rPr>
              <w:instrText xml:space="preserve"> PAGEREF _Toc107345842 \h </w:instrText>
            </w:r>
            <w:r w:rsidR="007068FA">
              <w:rPr>
                <w:noProof/>
                <w:webHidden/>
              </w:rPr>
            </w:r>
            <w:r w:rsidR="007068FA">
              <w:rPr>
                <w:noProof/>
                <w:webHidden/>
              </w:rPr>
              <w:fldChar w:fldCharType="separate"/>
            </w:r>
            <w:r w:rsidR="00A11F6A">
              <w:rPr>
                <w:noProof/>
                <w:webHidden/>
              </w:rPr>
              <w:t>12</w:t>
            </w:r>
            <w:r w:rsidR="007068FA">
              <w:rPr>
                <w:noProof/>
                <w:webHidden/>
              </w:rPr>
              <w:fldChar w:fldCharType="end"/>
            </w:r>
          </w:hyperlink>
        </w:p>
        <w:p w14:paraId="08C1711F" w14:textId="7FB6F2A2" w:rsidR="007068FA" w:rsidRDefault="00CC72F2">
          <w:pPr>
            <w:pStyle w:val="TOC3"/>
            <w:tabs>
              <w:tab w:val="left" w:pos="880"/>
              <w:tab w:val="right" w:leader="dot" w:pos="12950"/>
            </w:tabs>
            <w:rPr>
              <w:rFonts w:eastAsiaTheme="minorEastAsia"/>
              <w:noProof/>
              <w:sz w:val="22"/>
              <w:szCs w:val="22"/>
            </w:rPr>
          </w:pPr>
          <w:hyperlink w:anchor="_Toc107345843" w:history="1">
            <w:r w:rsidR="007068FA" w:rsidRPr="00CE4D03">
              <w:rPr>
                <w:rStyle w:val="Hyperlink"/>
                <w:b/>
                <w:noProof/>
              </w:rPr>
              <w:t>III.</w:t>
            </w:r>
            <w:r w:rsidR="007068FA">
              <w:rPr>
                <w:rFonts w:eastAsiaTheme="minorEastAsia"/>
                <w:noProof/>
                <w:sz w:val="22"/>
                <w:szCs w:val="22"/>
              </w:rPr>
              <w:tab/>
            </w:r>
            <w:r w:rsidR="007068FA" w:rsidRPr="00CE4D03">
              <w:rPr>
                <w:rStyle w:val="Hyperlink"/>
                <w:b/>
                <w:noProof/>
              </w:rPr>
              <w:t>NEW Disbursement-Linked Indicators (DLI) Matrix</w:t>
            </w:r>
            <w:r w:rsidR="007068FA">
              <w:rPr>
                <w:noProof/>
                <w:webHidden/>
              </w:rPr>
              <w:tab/>
            </w:r>
            <w:r w:rsidR="007068FA">
              <w:rPr>
                <w:noProof/>
                <w:webHidden/>
              </w:rPr>
              <w:fldChar w:fldCharType="begin"/>
            </w:r>
            <w:r w:rsidR="007068FA">
              <w:rPr>
                <w:noProof/>
                <w:webHidden/>
              </w:rPr>
              <w:instrText xml:space="preserve"> PAGEREF _Toc107345843 \h </w:instrText>
            </w:r>
            <w:r w:rsidR="007068FA">
              <w:rPr>
                <w:noProof/>
                <w:webHidden/>
              </w:rPr>
            </w:r>
            <w:r w:rsidR="007068FA">
              <w:rPr>
                <w:noProof/>
                <w:webHidden/>
              </w:rPr>
              <w:fldChar w:fldCharType="separate"/>
            </w:r>
            <w:r w:rsidR="00A11F6A">
              <w:rPr>
                <w:noProof/>
                <w:webHidden/>
              </w:rPr>
              <w:t>13</w:t>
            </w:r>
            <w:r w:rsidR="007068FA">
              <w:rPr>
                <w:noProof/>
                <w:webHidden/>
              </w:rPr>
              <w:fldChar w:fldCharType="end"/>
            </w:r>
          </w:hyperlink>
        </w:p>
        <w:p w14:paraId="001D643E" w14:textId="66ED26C2" w:rsidR="007068FA" w:rsidRDefault="00CC72F2">
          <w:pPr>
            <w:pStyle w:val="TOC1"/>
            <w:tabs>
              <w:tab w:val="left" w:pos="440"/>
            </w:tabs>
            <w:rPr>
              <w:rFonts w:eastAsiaTheme="minorEastAsia"/>
              <w:b w:val="0"/>
              <w:bCs w:val="0"/>
              <w:noProof/>
              <w:sz w:val="22"/>
              <w:szCs w:val="22"/>
            </w:rPr>
          </w:pPr>
          <w:hyperlink w:anchor="_Toc107345844" w:history="1">
            <w:r w:rsidR="007068FA" w:rsidRPr="00CE4D03">
              <w:rPr>
                <w:rStyle w:val="Hyperlink"/>
                <w:rFonts w:ascii="Symbol" w:hAnsi="Symbol"/>
                <w:noProof/>
              </w:rPr>
              <w:t></w:t>
            </w:r>
            <w:r w:rsidR="007068FA">
              <w:rPr>
                <w:rFonts w:eastAsiaTheme="minorEastAsia"/>
                <w:b w:val="0"/>
                <w:bCs w:val="0"/>
                <w:noProof/>
                <w:sz w:val="22"/>
                <w:szCs w:val="22"/>
              </w:rPr>
              <w:tab/>
            </w:r>
            <w:r w:rsidR="007068FA" w:rsidRPr="00CE4D03">
              <w:rPr>
                <w:rStyle w:val="Hyperlink"/>
                <w:noProof/>
              </w:rPr>
              <w:t>IVA Performance Assessment Guidelines for the Original and New DLIs and EC</w:t>
            </w:r>
            <w:r w:rsidR="007068FA">
              <w:rPr>
                <w:noProof/>
                <w:webHidden/>
              </w:rPr>
              <w:tab/>
            </w:r>
            <w:r w:rsidR="007068FA">
              <w:rPr>
                <w:noProof/>
                <w:webHidden/>
              </w:rPr>
              <w:fldChar w:fldCharType="begin"/>
            </w:r>
            <w:r w:rsidR="007068FA">
              <w:rPr>
                <w:noProof/>
                <w:webHidden/>
              </w:rPr>
              <w:instrText xml:space="preserve"> PAGEREF _Toc107345844 \h </w:instrText>
            </w:r>
            <w:r w:rsidR="007068FA">
              <w:rPr>
                <w:noProof/>
                <w:webHidden/>
              </w:rPr>
            </w:r>
            <w:r w:rsidR="007068FA">
              <w:rPr>
                <w:noProof/>
                <w:webHidden/>
              </w:rPr>
              <w:fldChar w:fldCharType="separate"/>
            </w:r>
            <w:r w:rsidR="00A11F6A">
              <w:rPr>
                <w:noProof/>
                <w:webHidden/>
              </w:rPr>
              <w:t>17</w:t>
            </w:r>
            <w:r w:rsidR="007068FA">
              <w:rPr>
                <w:noProof/>
                <w:webHidden/>
              </w:rPr>
              <w:fldChar w:fldCharType="end"/>
            </w:r>
          </w:hyperlink>
        </w:p>
        <w:p w14:paraId="029B57EC" w14:textId="774DE587" w:rsidR="007068FA" w:rsidRDefault="00CC72F2">
          <w:pPr>
            <w:pStyle w:val="TOC1"/>
            <w:rPr>
              <w:rFonts w:eastAsiaTheme="minorEastAsia"/>
              <w:b w:val="0"/>
              <w:bCs w:val="0"/>
              <w:noProof/>
              <w:sz w:val="22"/>
              <w:szCs w:val="22"/>
            </w:rPr>
          </w:pPr>
          <w:hyperlink w:anchor="_Toc107345845" w:history="1">
            <w:r w:rsidR="007068FA" w:rsidRPr="00CE4D03">
              <w:rPr>
                <w:rStyle w:val="Hyperlink"/>
                <w:noProof/>
              </w:rPr>
              <w:t>ORIGINAL DLIs: Eligibility Criteria (EC) and Disbursement-linked Result (DLR) Verification Protocol</w:t>
            </w:r>
            <w:r w:rsidR="007068FA">
              <w:rPr>
                <w:noProof/>
                <w:webHidden/>
              </w:rPr>
              <w:tab/>
            </w:r>
            <w:r w:rsidR="007068FA">
              <w:rPr>
                <w:noProof/>
                <w:webHidden/>
              </w:rPr>
              <w:fldChar w:fldCharType="begin"/>
            </w:r>
            <w:r w:rsidR="007068FA">
              <w:rPr>
                <w:noProof/>
                <w:webHidden/>
              </w:rPr>
              <w:instrText xml:space="preserve"> PAGEREF _Toc107345845 \h </w:instrText>
            </w:r>
            <w:r w:rsidR="007068FA">
              <w:rPr>
                <w:noProof/>
                <w:webHidden/>
              </w:rPr>
            </w:r>
            <w:r w:rsidR="007068FA">
              <w:rPr>
                <w:noProof/>
                <w:webHidden/>
              </w:rPr>
              <w:fldChar w:fldCharType="separate"/>
            </w:r>
            <w:r w:rsidR="00A11F6A">
              <w:rPr>
                <w:noProof/>
                <w:webHidden/>
              </w:rPr>
              <w:t>20</w:t>
            </w:r>
            <w:r w:rsidR="007068FA">
              <w:rPr>
                <w:noProof/>
                <w:webHidden/>
              </w:rPr>
              <w:fldChar w:fldCharType="end"/>
            </w:r>
          </w:hyperlink>
        </w:p>
        <w:p w14:paraId="1C88B176" w14:textId="6B69FDFB" w:rsidR="007068FA" w:rsidRDefault="00CC72F2">
          <w:pPr>
            <w:pStyle w:val="TOC3"/>
            <w:tabs>
              <w:tab w:val="right" w:leader="dot" w:pos="12950"/>
            </w:tabs>
            <w:rPr>
              <w:rFonts w:eastAsiaTheme="minorEastAsia"/>
              <w:noProof/>
              <w:sz w:val="22"/>
              <w:szCs w:val="22"/>
            </w:rPr>
          </w:pPr>
          <w:hyperlink w:anchor="_Toc107345846" w:history="1">
            <w:r w:rsidR="007068FA" w:rsidRPr="00CE4D03">
              <w:rPr>
                <w:rStyle w:val="Hyperlink"/>
                <w:rFonts w:ascii="Times New Roman Bold" w:eastAsia="Calibri" w:hAnsi="Times New Roman Bold"/>
                <w:noProof/>
              </w:rPr>
              <w:t>Eligibility Criteria for Original DLIs</w:t>
            </w:r>
            <w:r w:rsidR="007068FA">
              <w:rPr>
                <w:noProof/>
                <w:webHidden/>
              </w:rPr>
              <w:tab/>
            </w:r>
            <w:r w:rsidR="007068FA">
              <w:rPr>
                <w:noProof/>
                <w:webHidden/>
              </w:rPr>
              <w:fldChar w:fldCharType="begin"/>
            </w:r>
            <w:r w:rsidR="007068FA">
              <w:rPr>
                <w:noProof/>
                <w:webHidden/>
              </w:rPr>
              <w:instrText xml:space="preserve"> PAGEREF _Toc107345846 \h </w:instrText>
            </w:r>
            <w:r w:rsidR="007068FA">
              <w:rPr>
                <w:noProof/>
                <w:webHidden/>
              </w:rPr>
            </w:r>
            <w:r w:rsidR="007068FA">
              <w:rPr>
                <w:noProof/>
                <w:webHidden/>
              </w:rPr>
              <w:fldChar w:fldCharType="separate"/>
            </w:r>
            <w:r w:rsidR="00A11F6A">
              <w:rPr>
                <w:noProof/>
                <w:webHidden/>
              </w:rPr>
              <w:t>20</w:t>
            </w:r>
            <w:r w:rsidR="007068FA">
              <w:rPr>
                <w:noProof/>
                <w:webHidden/>
              </w:rPr>
              <w:fldChar w:fldCharType="end"/>
            </w:r>
          </w:hyperlink>
        </w:p>
        <w:p w14:paraId="430CAA9C" w14:textId="595486A3" w:rsidR="007068FA" w:rsidRDefault="00CC72F2">
          <w:pPr>
            <w:pStyle w:val="TOC3"/>
            <w:tabs>
              <w:tab w:val="right" w:leader="dot" w:pos="12950"/>
            </w:tabs>
            <w:rPr>
              <w:rFonts w:eastAsiaTheme="minorEastAsia"/>
              <w:noProof/>
              <w:sz w:val="22"/>
              <w:szCs w:val="22"/>
            </w:rPr>
          </w:pPr>
          <w:hyperlink w:anchor="_Toc107345847"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1: Improved financial reporting and budget reliability</w:t>
            </w:r>
            <w:r w:rsidR="007068FA">
              <w:rPr>
                <w:noProof/>
                <w:webHidden/>
              </w:rPr>
              <w:tab/>
            </w:r>
            <w:r w:rsidR="007068FA">
              <w:rPr>
                <w:noProof/>
                <w:webHidden/>
              </w:rPr>
              <w:fldChar w:fldCharType="begin"/>
            </w:r>
            <w:r w:rsidR="007068FA">
              <w:rPr>
                <w:noProof/>
                <w:webHidden/>
              </w:rPr>
              <w:instrText xml:space="preserve"> PAGEREF _Toc107345847 \h </w:instrText>
            </w:r>
            <w:r w:rsidR="007068FA">
              <w:rPr>
                <w:noProof/>
                <w:webHidden/>
              </w:rPr>
            </w:r>
            <w:r w:rsidR="007068FA">
              <w:rPr>
                <w:noProof/>
                <w:webHidden/>
              </w:rPr>
              <w:fldChar w:fldCharType="separate"/>
            </w:r>
            <w:r w:rsidR="00A11F6A">
              <w:rPr>
                <w:noProof/>
                <w:webHidden/>
              </w:rPr>
              <w:t>22</w:t>
            </w:r>
            <w:r w:rsidR="007068FA">
              <w:rPr>
                <w:noProof/>
                <w:webHidden/>
              </w:rPr>
              <w:fldChar w:fldCharType="end"/>
            </w:r>
          </w:hyperlink>
        </w:p>
        <w:p w14:paraId="57FA09CF" w14:textId="03C55364" w:rsidR="007068FA" w:rsidRDefault="00CC72F2">
          <w:pPr>
            <w:pStyle w:val="TOC3"/>
            <w:tabs>
              <w:tab w:val="right" w:leader="dot" w:pos="12950"/>
            </w:tabs>
            <w:rPr>
              <w:rFonts w:eastAsiaTheme="minorEastAsia"/>
              <w:noProof/>
              <w:sz w:val="22"/>
              <w:szCs w:val="22"/>
            </w:rPr>
          </w:pPr>
          <w:hyperlink w:anchor="_Toc107345848"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2: Increased openness and citizens’ engagement in the budget process</w:t>
            </w:r>
            <w:r w:rsidR="007068FA">
              <w:rPr>
                <w:noProof/>
                <w:webHidden/>
              </w:rPr>
              <w:tab/>
            </w:r>
            <w:r w:rsidR="007068FA">
              <w:rPr>
                <w:noProof/>
                <w:webHidden/>
              </w:rPr>
              <w:fldChar w:fldCharType="begin"/>
            </w:r>
            <w:r w:rsidR="007068FA">
              <w:rPr>
                <w:noProof/>
                <w:webHidden/>
              </w:rPr>
              <w:instrText xml:space="preserve"> PAGEREF _Toc107345848 \h </w:instrText>
            </w:r>
            <w:r w:rsidR="007068FA">
              <w:rPr>
                <w:noProof/>
                <w:webHidden/>
              </w:rPr>
            </w:r>
            <w:r w:rsidR="007068FA">
              <w:rPr>
                <w:noProof/>
                <w:webHidden/>
              </w:rPr>
              <w:fldChar w:fldCharType="separate"/>
            </w:r>
            <w:r w:rsidR="00A11F6A">
              <w:rPr>
                <w:noProof/>
                <w:webHidden/>
              </w:rPr>
              <w:t>25</w:t>
            </w:r>
            <w:r w:rsidR="007068FA">
              <w:rPr>
                <w:noProof/>
                <w:webHidden/>
              </w:rPr>
              <w:fldChar w:fldCharType="end"/>
            </w:r>
          </w:hyperlink>
        </w:p>
        <w:p w14:paraId="2E573858" w14:textId="234978EA" w:rsidR="007068FA" w:rsidRDefault="00CC72F2">
          <w:pPr>
            <w:pStyle w:val="TOC3"/>
            <w:tabs>
              <w:tab w:val="right" w:leader="dot" w:pos="12950"/>
            </w:tabs>
            <w:rPr>
              <w:rFonts w:eastAsiaTheme="minorEastAsia"/>
              <w:noProof/>
              <w:sz w:val="22"/>
              <w:szCs w:val="22"/>
            </w:rPr>
          </w:pPr>
          <w:hyperlink w:anchor="_Toc107345849"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3: Improved cash management and reduced revenue leakages through implementation of State TSA</w:t>
            </w:r>
            <w:r w:rsidR="007068FA">
              <w:rPr>
                <w:noProof/>
                <w:webHidden/>
              </w:rPr>
              <w:tab/>
            </w:r>
            <w:r w:rsidR="007068FA">
              <w:rPr>
                <w:noProof/>
                <w:webHidden/>
              </w:rPr>
              <w:fldChar w:fldCharType="begin"/>
            </w:r>
            <w:r w:rsidR="007068FA">
              <w:rPr>
                <w:noProof/>
                <w:webHidden/>
              </w:rPr>
              <w:instrText xml:space="preserve"> PAGEREF _Toc107345849 \h </w:instrText>
            </w:r>
            <w:r w:rsidR="007068FA">
              <w:rPr>
                <w:noProof/>
                <w:webHidden/>
              </w:rPr>
            </w:r>
            <w:r w:rsidR="007068FA">
              <w:rPr>
                <w:noProof/>
                <w:webHidden/>
              </w:rPr>
              <w:fldChar w:fldCharType="separate"/>
            </w:r>
            <w:r w:rsidR="00A11F6A">
              <w:rPr>
                <w:noProof/>
                <w:webHidden/>
              </w:rPr>
              <w:t>29</w:t>
            </w:r>
            <w:r w:rsidR="007068FA">
              <w:rPr>
                <w:noProof/>
                <w:webHidden/>
              </w:rPr>
              <w:fldChar w:fldCharType="end"/>
            </w:r>
          </w:hyperlink>
        </w:p>
        <w:p w14:paraId="63196241" w14:textId="0D20AF7D" w:rsidR="007068FA" w:rsidRDefault="00CC72F2">
          <w:pPr>
            <w:pStyle w:val="TOC3"/>
            <w:tabs>
              <w:tab w:val="right" w:leader="dot" w:pos="12950"/>
            </w:tabs>
            <w:rPr>
              <w:rFonts w:eastAsiaTheme="minorEastAsia"/>
              <w:noProof/>
              <w:sz w:val="22"/>
              <w:szCs w:val="22"/>
            </w:rPr>
          </w:pPr>
          <w:hyperlink w:anchor="_Toc107345850"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4: Strengthened Internally Generated Revenue (IGR) collection</w:t>
            </w:r>
            <w:r w:rsidR="007068FA">
              <w:rPr>
                <w:noProof/>
                <w:webHidden/>
              </w:rPr>
              <w:tab/>
            </w:r>
            <w:r w:rsidR="007068FA">
              <w:rPr>
                <w:noProof/>
                <w:webHidden/>
              </w:rPr>
              <w:fldChar w:fldCharType="begin"/>
            </w:r>
            <w:r w:rsidR="007068FA">
              <w:rPr>
                <w:noProof/>
                <w:webHidden/>
              </w:rPr>
              <w:instrText xml:space="preserve"> PAGEREF _Toc107345850 \h </w:instrText>
            </w:r>
            <w:r w:rsidR="007068FA">
              <w:rPr>
                <w:noProof/>
                <w:webHidden/>
              </w:rPr>
            </w:r>
            <w:r w:rsidR="007068FA">
              <w:rPr>
                <w:noProof/>
                <w:webHidden/>
              </w:rPr>
              <w:fldChar w:fldCharType="separate"/>
            </w:r>
            <w:r w:rsidR="00A11F6A">
              <w:rPr>
                <w:noProof/>
                <w:webHidden/>
              </w:rPr>
              <w:t>31</w:t>
            </w:r>
            <w:r w:rsidR="007068FA">
              <w:rPr>
                <w:noProof/>
                <w:webHidden/>
              </w:rPr>
              <w:fldChar w:fldCharType="end"/>
            </w:r>
          </w:hyperlink>
        </w:p>
        <w:p w14:paraId="5FDB5318" w14:textId="2287BF18" w:rsidR="007068FA" w:rsidRDefault="00CC72F2">
          <w:pPr>
            <w:pStyle w:val="TOC3"/>
            <w:tabs>
              <w:tab w:val="right" w:leader="dot" w:pos="12950"/>
            </w:tabs>
            <w:rPr>
              <w:rFonts w:eastAsiaTheme="minorEastAsia"/>
              <w:noProof/>
              <w:sz w:val="22"/>
              <w:szCs w:val="22"/>
            </w:rPr>
          </w:pPr>
          <w:hyperlink w:anchor="_Toc107345851"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5: Biometric registration and bank verification number (BVN) used to reduce payroll fraud</w:t>
            </w:r>
            <w:r w:rsidR="007068FA">
              <w:rPr>
                <w:noProof/>
                <w:webHidden/>
              </w:rPr>
              <w:tab/>
            </w:r>
            <w:r w:rsidR="007068FA">
              <w:rPr>
                <w:noProof/>
                <w:webHidden/>
              </w:rPr>
              <w:fldChar w:fldCharType="begin"/>
            </w:r>
            <w:r w:rsidR="007068FA">
              <w:rPr>
                <w:noProof/>
                <w:webHidden/>
              </w:rPr>
              <w:instrText xml:space="preserve"> PAGEREF _Toc107345851 \h </w:instrText>
            </w:r>
            <w:r w:rsidR="007068FA">
              <w:rPr>
                <w:noProof/>
                <w:webHidden/>
              </w:rPr>
            </w:r>
            <w:r w:rsidR="007068FA">
              <w:rPr>
                <w:noProof/>
                <w:webHidden/>
              </w:rPr>
              <w:fldChar w:fldCharType="separate"/>
            </w:r>
            <w:r w:rsidR="00A11F6A">
              <w:rPr>
                <w:noProof/>
                <w:webHidden/>
              </w:rPr>
              <w:t>35</w:t>
            </w:r>
            <w:r w:rsidR="007068FA">
              <w:rPr>
                <w:noProof/>
                <w:webHidden/>
              </w:rPr>
              <w:fldChar w:fldCharType="end"/>
            </w:r>
          </w:hyperlink>
        </w:p>
        <w:p w14:paraId="7C0FA6BE" w14:textId="32D12C77" w:rsidR="007068FA" w:rsidRDefault="00CC72F2">
          <w:pPr>
            <w:pStyle w:val="TOC3"/>
            <w:tabs>
              <w:tab w:val="right" w:leader="dot" w:pos="12950"/>
            </w:tabs>
            <w:rPr>
              <w:rFonts w:eastAsiaTheme="minorEastAsia"/>
              <w:noProof/>
              <w:sz w:val="22"/>
              <w:szCs w:val="22"/>
            </w:rPr>
          </w:pPr>
          <w:hyperlink w:anchor="_Toc107345852"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6: Improved procurement practices for increased transparency and value for money</w:t>
            </w:r>
            <w:r w:rsidR="007068FA">
              <w:rPr>
                <w:noProof/>
                <w:webHidden/>
              </w:rPr>
              <w:tab/>
            </w:r>
            <w:r w:rsidR="007068FA">
              <w:rPr>
                <w:noProof/>
                <w:webHidden/>
              </w:rPr>
              <w:fldChar w:fldCharType="begin"/>
            </w:r>
            <w:r w:rsidR="007068FA">
              <w:rPr>
                <w:noProof/>
                <w:webHidden/>
              </w:rPr>
              <w:instrText xml:space="preserve"> PAGEREF _Toc107345852 \h </w:instrText>
            </w:r>
            <w:r w:rsidR="007068FA">
              <w:rPr>
                <w:noProof/>
                <w:webHidden/>
              </w:rPr>
            </w:r>
            <w:r w:rsidR="007068FA">
              <w:rPr>
                <w:noProof/>
                <w:webHidden/>
              </w:rPr>
              <w:fldChar w:fldCharType="separate"/>
            </w:r>
            <w:r w:rsidR="00A11F6A">
              <w:rPr>
                <w:noProof/>
                <w:webHidden/>
              </w:rPr>
              <w:t>37</w:t>
            </w:r>
            <w:r w:rsidR="007068FA">
              <w:rPr>
                <w:noProof/>
                <w:webHidden/>
              </w:rPr>
              <w:fldChar w:fldCharType="end"/>
            </w:r>
          </w:hyperlink>
        </w:p>
        <w:p w14:paraId="7F7CBDDB" w14:textId="2779EAA8" w:rsidR="007068FA" w:rsidRDefault="00CC72F2">
          <w:pPr>
            <w:pStyle w:val="TOC3"/>
            <w:tabs>
              <w:tab w:val="right" w:leader="dot" w:pos="12950"/>
            </w:tabs>
            <w:rPr>
              <w:rFonts w:eastAsiaTheme="minorEastAsia"/>
              <w:noProof/>
              <w:sz w:val="22"/>
              <w:szCs w:val="22"/>
            </w:rPr>
          </w:pPr>
          <w:hyperlink w:anchor="_Toc107345853"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7: Strengthened public debt management and fiscal responsibility framework</w:t>
            </w:r>
            <w:r w:rsidR="007068FA">
              <w:rPr>
                <w:noProof/>
                <w:webHidden/>
              </w:rPr>
              <w:tab/>
            </w:r>
            <w:r w:rsidR="007068FA">
              <w:rPr>
                <w:noProof/>
                <w:webHidden/>
              </w:rPr>
              <w:fldChar w:fldCharType="begin"/>
            </w:r>
            <w:r w:rsidR="007068FA">
              <w:rPr>
                <w:noProof/>
                <w:webHidden/>
              </w:rPr>
              <w:instrText xml:space="preserve"> PAGEREF _Toc107345853 \h </w:instrText>
            </w:r>
            <w:r w:rsidR="007068FA">
              <w:rPr>
                <w:noProof/>
                <w:webHidden/>
              </w:rPr>
            </w:r>
            <w:r w:rsidR="007068FA">
              <w:rPr>
                <w:noProof/>
                <w:webHidden/>
              </w:rPr>
              <w:fldChar w:fldCharType="separate"/>
            </w:r>
            <w:r w:rsidR="00A11F6A">
              <w:rPr>
                <w:noProof/>
                <w:webHidden/>
              </w:rPr>
              <w:t>42</w:t>
            </w:r>
            <w:r w:rsidR="007068FA">
              <w:rPr>
                <w:noProof/>
                <w:webHidden/>
              </w:rPr>
              <w:fldChar w:fldCharType="end"/>
            </w:r>
          </w:hyperlink>
        </w:p>
        <w:p w14:paraId="6F8C7E0E" w14:textId="31F0151C" w:rsidR="007068FA" w:rsidRDefault="00CC72F2">
          <w:pPr>
            <w:pStyle w:val="TOC3"/>
            <w:tabs>
              <w:tab w:val="right" w:leader="dot" w:pos="12950"/>
            </w:tabs>
            <w:rPr>
              <w:rFonts w:eastAsiaTheme="minorEastAsia"/>
              <w:noProof/>
              <w:sz w:val="22"/>
              <w:szCs w:val="22"/>
            </w:rPr>
          </w:pPr>
          <w:hyperlink w:anchor="_Toc107345854"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8: Improved clearance/reduction of stock of domestic expenditure arrears</w:t>
            </w:r>
            <w:r w:rsidR="007068FA">
              <w:rPr>
                <w:noProof/>
                <w:webHidden/>
              </w:rPr>
              <w:tab/>
            </w:r>
            <w:r w:rsidR="007068FA">
              <w:rPr>
                <w:noProof/>
                <w:webHidden/>
              </w:rPr>
              <w:fldChar w:fldCharType="begin"/>
            </w:r>
            <w:r w:rsidR="007068FA">
              <w:rPr>
                <w:noProof/>
                <w:webHidden/>
              </w:rPr>
              <w:instrText xml:space="preserve"> PAGEREF _Toc107345854 \h </w:instrText>
            </w:r>
            <w:r w:rsidR="007068FA">
              <w:rPr>
                <w:noProof/>
                <w:webHidden/>
              </w:rPr>
            </w:r>
            <w:r w:rsidR="007068FA">
              <w:rPr>
                <w:noProof/>
                <w:webHidden/>
              </w:rPr>
              <w:fldChar w:fldCharType="separate"/>
            </w:r>
            <w:r w:rsidR="00A11F6A">
              <w:rPr>
                <w:noProof/>
                <w:webHidden/>
              </w:rPr>
              <w:t>52</w:t>
            </w:r>
            <w:r w:rsidR="007068FA">
              <w:rPr>
                <w:noProof/>
                <w:webHidden/>
              </w:rPr>
              <w:fldChar w:fldCharType="end"/>
            </w:r>
          </w:hyperlink>
        </w:p>
        <w:p w14:paraId="7BCCD6E5" w14:textId="15E8D635" w:rsidR="007068FA" w:rsidRDefault="00CC72F2">
          <w:pPr>
            <w:pStyle w:val="TOC3"/>
            <w:tabs>
              <w:tab w:val="right" w:leader="dot" w:pos="12950"/>
            </w:tabs>
            <w:rPr>
              <w:rFonts w:eastAsiaTheme="minorEastAsia"/>
              <w:noProof/>
              <w:sz w:val="22"/>
              <w:szCs w:val="22"/>
            </w:rPr>
          </w:pPr>
          <w:hyperlink w:anchor="_Toc107345855" w:history="1">
            <w:r w:rsidR="007068FA" w:rsidRPr="00CE4D03">
              <w:rPr>
                <w:rStyle w:val="Hyperlink"/>
                <w:noProof/>
              </w:rPr>
              <w:t xml:space="preserve">ORIGINAL </w:t>
            </w:r>
            <w:r w:rsidR="007068FA" w:rsidRPr="00CE4D03">
              <w:rPr>
                <w:rStyle w:val="Hyperlink"/>
                <w:rFonts w:ascii="Times New Roman Bold" w:eastAsia="Calibri" w:hAnsi="Times New Roman Bold"/>
                <w:noProof/>
              </w:rPr>
              <w:t>DLI 9: Improved debt sustainability</w:t>
            </w:r>
            <w:r w:rsidR="007068FA">
              <w:rPr>
                <w:noProof/>
                <w:webHidden/>
              </w:rPr>
              <w:tab/>
            </w:r>
            <w:r w:rsidR="007068FA">
              <w:rPr>
                <w:noProof/>
                <w:webHidden/>
              </w:rPr>
              <w:fldChar w:fldCharType="begin"/>
            </w:r>
            <w:r w:rsidR="007068FA">
              <w:rPr>
                <w:noProof/>
                <w:webHidden/>
              </w:rPr>
              <w:instrText xml:space="preserve"> PAGEREF _Toc107345855 \h </w:instrText>
            </w:r>
            <w:r w:rsidR="007068FA">
              <w:rPr>
                <w:noProof/>
                <w:webHidden/>
              </w:rPr>
            </w:r>
            <w:r w:rsidR="007068FA">
              <w:rPr>
                <w:noProof/>
                <w:webHidden/>
              </w:rPr>
              <w:fldChar w:fldCharType="separate"/>
            </w:r>
            <w:r w:rsidR="00A11F6A">
              <w:rPr>
                <w:noProof/>
                <w:webHidden/>
              </w:rPr>
              <w:t>56</w:t>
            </w:r>
            <w:r w:rsidR="007068FA">
              <w:rPr>
                <w:noProof/>
                <w:webHidden/>
              </w:rPr>
              <w:fldChar w:fldCharType="end"/>
            </w:r>
          </w:hyperlink>
        </w:p>
        <w:p w14:paraId="7C5CFA1C" w14:textId="477ABE56" w:rsidR="007068FA" w:rsidRDefault="00CC72F2">
          <w:pPr>
            <w:pStyle w:val="TOC1"/>
            <w:rPr>
              <w:rFonts w:eastAsiaTheme="minorEastAsia"/>
              <w:b w:val="0"/>
              <w:bCs w:val="0"/>
              <w:noProof/>
              <w:sz w:val="22"/>
              <w:szCs w:val="22"/>
            </w:rPr>
          </w:pPr>
          <w:hyperlink w:anchor="_Toc107345856" w:history="1">
            <w:r w:rsidR="007068FA" w:rsidRPr="00CE4D03">
              <w:rPr>
                <w:rStyle w:val="Hyperlink"/>
                <w:noProof/>
              </w:rPr>
              <w:t>NEW DLIs: Eligibility Criteria (EC) and Disbursement-linked Result (DLR) Verification Protocol</w:t>
            </w:r>
            <w:r w:rsidR="007068FA">
              <w:rPr>
                <w:noProof/>
                <w:webHidden/>
              </w:rPr>
              <w:tab/>
            </w:r>
            <w:r w:rsidR="007068FA">
              <w:rPr>
                <w:noProof/>
                <w:webHidden/>
              </w:rPr>
              <w:fldChar w:fldCharType="begin"/>
            </w:r>
            <w:r w:rsidR="007068FA">
              <w:rPr>
                <w:noProof/>
                <w:webHidden/>
              </w:rPr>
              <w:instrText xml:space="preserve"> PAGEREF _Toc107345856 \h </w:instrText>
            </w:r>
            <w:r w:rsidR="007068FA">
              <w:rPr>
                <w:noProof/>
                <w:webHidden/>
              </w:rPr>
            </w:r>
            <w:r w:rsidR="007068FA">
              <w:rPr>
                <w:noProof/>
                <w:webHidden/>
              </w:rPr>
              <w:fldChar w:fldCharType="separate"/>
            </w:r>
            <w:r w:rsidR="00A11F6A">
              <w:rPr>
                <w:noProof/>
                <w:webHidden/>
              </w:rPr>
              <w:t>60</w:t>
            </w:r>
            <w:r w:rsidR="007068FA">
              <w:rPr>
                <w:noProof/>
                <w:webHidden/>
              </w:rPr>
              <w:fldChar w:fldCharType="end"/>
            </w:r>
          </w:hyperlink>
        </w:p>
        <w:p w14:paraId="15F40C2B" w14:textId="4502EF77" w:rsidR="007068FA" w:rsidRDefault="00CC72F2">
          <w:pPr>
            <w:pStyle w:val="TOC3"/>
            <w:tabs>
              <w:tab w:val="right" w:leader="dot" w:pos="12950"/>
            </w:tabs>
            <w:rPr>
              <w:rFonts w:eastAsiaTheme="minorEastAsia"/>
              <w:noProof/>
              <w:sz w:val="22"/>
              <w:szCs w:val="22"/>
            </w:rPr>
          </w:pPr>
          <w:hyperlink w:anchor="_Toc107345857" w:history="1">
            <w:r w:rsidR="007068FA" w:rsidRPr="00CE4D03">
              <w:rPr>
                <w:rStyle w:val="Hyperlink"/>
                <w:rFonts w:eastAsia="Calibri" w:cs="Times New Roman"/>
                <w:noProof/>
              </w:rPr>
              <w:t>Eligibility Criteria for NEW 2020 and 2021 DLIs</w:t>
            </w:r>
            <w:r w:rsidR="007068FA">
              <w:rPr>
                <w:noProof/>
                <w:webHidden/>
              </w:rPr>
              <w:tab/>
            </w:r>
            <w:r w:rsidR="007068FA">
              <w:rPr>
                <w:noProof/>
                <w:webHidden/>
              </w:rPr>
              <w:fldChar w:fldCharType="begin"/>
            </w:r>
            <w:r w:rsidR="007068FA">
              <w:rPr>
                <w:noProof/>
                <w:webHidden/>
              </w:rPr>
              <w:instrText xml:space="preserve"> PAGEREF _Toc107345857 \h </w:instrText>
            </w:r>
            <w:r w:rsidR="007068FA">
              <w:rPr>
                <w:noProof/>
                <w:webHidden/>
              </w:rPr>
            </w:r>
            <w:r w:rsidR="007068FA">
              <w:rPr>
                <w:noProof/>
                <w:webHidden/>
              </w:rPr>
              <w:fldChar w:fldCharType="separate"/>
            </w:r>
            <w:r w:rsidR="00A11F6A">
              <w:rPr>
                <w:noProof/>
                <w:webHidden/>
              </w:rPr>
              <w:t>60</w:t>
            </w:r>
            <w:r w:rsidR="007068FA">
              <w:rPr>
                <w:noProof/>
                <w:webHidden/>
              </w:rPr>
              <w:fldChar w:fldCharType="end"/>
            </w:r>
          </w:hyperlink>
        </w:p>
        <w:p w14:paraId="4E839B2C" w14:textId="2DADA130" w:rsidR="007068FA" w:rsidRDefault="00CC72F2">
          <w:pPr>
            <w:pStyle w:val="TOC3"/>
            <w:tabs>
              <w:tab w:val="right" w:leader="dot" w:pos="12950"/>
            </w:tabs>
            <w:rPr>
              <w:rFonts w:eastAsiaTheme="minorEastAsia"/>
              <w:noProof/>
              <w:sz w:val="22"/>
              <w:szCs w:val="22"/>
            </w:rPr>
          </w:pPr>
          <w:hyperlink w:anchor="_Toc107345858" w:history="1">
            <w:r w:rsidR="007068FA" w:rsidRPr="00CE4D03">
              <w:rPr>
                <w:rStyle w:val="Hyperlink"/>
                <w:i/>
                <w:iCs/>
                <w:noProof/>
              </w:rPr>
              <w:t>DLR 10.1: Strengthened transparency of local government funds by publishing audited financial statements of all local governments within the state for FY18, FY19 and FY20, including SLJAAC transfers</w:t>
            </w:r>
            <w:r w:rsidR="007068FA">
              <w:rPr>
                <w:noProof/>
                <w:webHidden/>
              </w:rPr>
              <w:tab/>
            </w:r>
            <w:r w:rsidR="007068FA">
              <w:rPr>
                <w:noProof/>
                <w:webHidden/>
              </w:rPr>
              <w:fldChar w:fldCharType="begin"/>
            </w:r>
            <w:r w:rsidR="007068FA">
              <w:rPr>
                <w:noProof/>
                <w:webHidden/>
              </w:rPr>
              <w:instrText xml:space="preserve"> PAGEREF _Toc107345858 \h </w:instrText>
            </w:r>
            <w:r w:rsidR="007068FA">
              <w:rPr>
                <w:noProof/>
                <w:webHidden/>
              </w:rPr>
            </w:r>
            <w:r w:rsidR="007068FA">
              <w:rPr>
                <w:noProof/>
                <w:webHidden/>
              </w:rPr>
              <w:fldChar w:fldCharType="separate"/>
            </w:r>
            <w:r w:rsidR="00A11F6A">
              <w:rPr>
                <w:noProof/>
                <w:webHidden/>
              </w:rPr>
              <w:t>61</w:t>
            </w:r>
            <w:r w:rsidR="007068FA">
              <w:rPr>
                <w:noProof/>
                <w:webHidden/>
              </w:rPr>
              <w:fldChar w:fldCharType="end"/>
            </w:r>
          </w:hyperlink>
        </w:p>
        <w:p w14:paraId="29E4C0C0" w14:textId="1415A14B" w:rsidR="007068FA" w:rsidRDefault="00CC72F2">
          <w:pPr>
            <w:pStyle w:val="TOC3"/>
            <w:tabs>
              <w:tab w:val="right" w:leader="dot" w:pos="12950"/>
            </w:tabs>
            <w:rPr>
              <w:rFonts w:eastAsiaTheme="minorEastAsia"/>
              <w:noProof/>
              <w:sz w:val="22"/>
              <w:szCs w:val="22"/>
            </w:rPr>
          </w:pPr>
          <w:hyperlink w:anchor="_Toc107345859" w:history="1">
            <w:r w:rsidR="007068FA" w:rsidRPr="00CE4D03">
              <w:rPr>
                <w:rStyle w:val="Hyperlink"/>
                <w:rFonts w:cs="Times New Roman"/>
                <w:i/>
                <w:iCs/>
                <w:noProof/>
              </w:rPr>
              <w:t>DLR 10.2: Strengthened transparency and accountability by publishing COVID-19 response and recovery expenditures and audit reports</w:t>
            </w:r>
            <w:r w:rsidR="007068FA">
              <w:rPr>
                <w:noProof/>
                <w:webHidden/>
              </w:rPr>
              <w:tab/>
            </w:r>
            <w:r w:rsidR="007068FA">
              <w:rPr>
                <w:noProof/>
                <w:webHidden/>
              </w:rPr>
              <w:fldChar w:fldCharType="begin"/>
            </w:r>
            <w:r w:rsidR="007068FA">
              <w:rPr>
                <w:noProof/>
                <w:webHidden/>
              </w:rPr>
              <w:instrText xml:space="preserve"> PAGEREF _Toc107345859 \h </w:instrText>
            </w:r>
            <w:r w:rsidR="007068FA">
              <w:rPr>
                <w:noProof/>
                <w:webHidden/>
              </w:rPr>
            </w:r>
            <w:r w:rsidR="007068FA">
              <w:rPr>
                <w:noProof/>
                <w:webHidden/>
              </w:rPr>
              <w:fldChar w:fldCharType="separate"/>
            </w:r>
            <w:r w:rsidR="00A11F6A">
              <w:rPr>
                <w:noProof/>
                <w:webHidden/>
              </w:rPr>
              <w:t>63</w:t>
            </w:r>
            <w:r w:rsidR="007068FA">
              <w:rPr>
                <w:noProof/>
                <w:webHidden/>
              </w:rPr>
              <w:fldChar w:fldCharType="end"/>
            </w:r>
          </w:hyperlink>
        </w:p>
        <w:p w14:paraId="47C35074" w14:textId="5ADD74B1" w:rsidR="007068FA" w:rsidRDefault="00CC72F2">
          <w:pPr>
            <w:pStyle w:val="TOC3"/>
            <w:tabs>
              <w:tab w:val="right" w:leader="dot" w:pos="12950"/>
            </w:tabs>
            <w:rPr>
              <w:rFonts w:eastAsiaTheme="minorEastAsia"/>
              <w:noProof/>
              <w:sz w:val="22"/>
              <w:szCs w:val="22"/>
            </w:rPr>
          </w:pPr>
          <w:hyperlink w:anchor="_Toc107345860" w:history="1">
            <w:r w:rsidR="007068FA" w:rsidRPr="00CE4D03">
              <w:rPr>
                <w:rStyle w:val="Hyperlink"/>
                <w:rFonts w:cs="Times New Roman"/>
                <w:i/>
                <w:iCs/>
                <w:noProof/>
              </w:rPr>
              <w:t>DLR 10.3: Enactment and implementation of State Audit Law</w:t>
            </w:r>
            <w:r w:rsidR="007068FA">
              <w:rPr>
                <w:noProof/>
                <w:webHidden/>
              </w:rPr>
              <w:tab/>
            </w:r>
            <w:r w:rsidR="007068FA">
              <w:rPr>
                <w:noProof/>
                <w:webHidden/>
              </w:rPr>
              <w:fldChar w:fldCharType="begin"/>
            </w:r>
            <w:r w:rsidR="007068FA">
              <w:rPr>
                <w:noProof/>
                <w:webHidden/>
              </w:rPr>
              <w:instrText xml:space="preserve"> PAGEREF _Toc107345860 \h </w:instrText>
            </w:r>
            <w:r w:rsidR="007068FA">
              <w:rPr>
                <w:noProof/>
                <w:webHidden/>
              </w:rPr>
            </w:r>
            <w:r w:rsidR="007068FA">
              <w:rPr>
                <w:noProof/>
                <w:webHidden/>
              </w:rPr>
              <w:fldChar w:fldCharType="separate"/>
            </w:r>
            <w:r w:rsidR="00A11F6A">
              <w:rPr>
                <w:noProof/>
                <w:webHidden/>
              </w:rPr>
              <w:t>65</w:t>
            </w:r>
            <w:r w:rsidR="007068FA">
              <w:rPr>
                <w:noProof/>
                <w:webHidden/>
              </w:rPr>
              <w:fldChar w:fldCharType="end"/>
            </w:r>
          </w:hyperlink>
        </w:p>
        <w:p w14:paraId="2AF24FA7" w14:textId="32DF2DDB" w:rsidR="007068FA" w:rsidRDefault="00CC72F2">
          <w:pPr>
            <w:pStyle w:val="TOC3"/>
            <w:tabs>
              <w:tab w:val="right" w:leader="dot" w:pos="12950"/>
            </w:tabs>
            <w:rPr>
              <w:rFonts w:eastAsiaTheme="minorEastAsia"/>
              <w:noProof/>
              <w:sz w:val="22"/>
              <w:szCs w:val="22"/>
            </w:rPr>
          </w:pPr>
          <w:hyperlink w:anchor="_Toc107345861" w:history="1">
            <w:r w:rsidR="007068FA" w:rsidRPr="00CE4D03">
              <w:rPr>
                <w:rStyle w:val="Hyperlink"/>
                <w:rFonts w:cs="Times New Roman"/>
                <w:i/>
                <w:iCs/>
                <w:noProof/>
              </w:rPr>
              <w:t>DLR 11.1: Announced and started implementation of a tax compliance relief program for individual taxpayers and businesses</w:t>
            </w:r>
            <w:r w:rsidR="007068FA">
              <w:rPr>
                <w:noProof/>
                <w:webHidden/>
              </w:rPr>
              <w:tab/>
            </w:r>
            <w:r w:rsidR="007068FA">
              <w:rPr>
                <w:noProof/>
                <w:webHidden/>
              </w:rPr>
              <w:fldChar w:fldCharType="begin"/>
            </w:r>
            <w:r w:rsidR="007068FA">
              <w:rPr>
                <w:noProof/>
                <w:webHidden/>
              </w:rPr>
              <w:instrText xml:space="preserve"> PAGEREF _Toc107345861 \h </w:instrText>
            </w:r>
            <w:r w:rsidR="007068FA">
              <w:rPr>
                <w:noProof/>
                <w:webHidden/>
              </w:rPr>
            </w:r>
            <w:r w:rsidR="007068FA">
              <w:rPr>
                <w:noProof/>
                <w:webHidden/>
              </w:rPr>
              <w:fldChar w:fldCharType="separate"/>
            </w:r>
            <w:r w:rsidR="00A11F6A">
              <w:rPr>
                <w:noProof/>
                <w:webHidden/>
              </w:rPr>
              <w:t>67</w:t>
            </w:r>
            <w:r w:rsidR="007068FA">
              <w:rPr>
                <w:noProof/>
                <w:webHidden/>
              </w:rPr>
              <w:fldChar w:fldCharType="end"/>
            </w:r>
          </w:hyperlink>
        </w:p>
        <w:p w14:paraId="2CE68785" w14:textId="08102B2F" w:rsidR="007068FA" w:rsidRDefault="00CC72F2">
          <w:pPr>
            <w:pStyle w:val="TOC3"/>
            <w:tabs>
              <w:tab w:val="right" w:leader="dot" w:pos="12950"/>
            </w:tabs>
            <w:rPr>
              <w:rFonts w:eastAsiaTheme="minorEastAsia"/>
              <w:noProof/>
              <w:sz w:val="22"/>
              <w:szCs w:val="22"/>
            </w:rPr>
          </w:pPr>
          <w:hyperlink w:anchor="_Toc107345862" w:history="1">
            <w:r w:rsidR="007068FA" w:rsidRPr="00CE4D03">
              <w:rPr>
                <w:rStyle w:val="Hyperlink"/>
                <w:rFonts w:cs="Times New Roman"/>
                <w:i/>
                <w:iCs/>
                <w:noProof/>
              </w:rPr>
              <w:t>DLR 11.2: Increased efficiency in personal income tax collection by ending the practice of contracting out assessment and collection of PIT to private consultants</w:t>
            </w:r>
            <w:r w:rsidR="007068FA">
              <w:rPr>
                <w:noProof/>
                <w:webHidden/>
              </w:rPr>
              <w:tab/>
            </w:r>
            <w:r w:rsidR="007068FA">
              <w:rPr>
                <w:noProof/>
                <w:webHidden/>
              </w:rPr>
              <w:fldChar w:fldCharType="begin"/>
            </w:r>
            <w:r w:rsidR="007068FA">
              <w:rPr>
                <w:noProof/>
                <w:webHidden/>
              </w:rPr>
              <w:instrText xml:space="preserve"> PAGEREF _Toc107345862 \h </w:instrText>
            </w:r>
            <w:r w:rsidR="007068FA">
              <w:rPr>
                <w:noProof/>
                <w:webHidden/>
              </w:rPr>
            </w:r>
            <w:r w:rsidR="007068FA">
              <w:rPr>
                <w:noProof/>
                <w:webHidden/>
              </w:rPr>
              <w:fldChar w:fldCharType="separate"/>
            </w:r>
            <w:r w:rsidR="00A11F6A">
              <w:rPr>
                <w:noProof/>
                <w:webHidden/>
              </w:rPr>
              <w:t>68</w:t>
            </w:r>
            <w:r w:rsidR="007068FA">
              <w:rPr>
                <w:noProof/>
                <w:webHidden/>
              </w:rPr>
              <w:fldChar w:fldCharType="end"/>
            </w:r>
          </w:hyperlink>
        </w:p>
        <w:p w14:paraId="22E9C898" w14:textId="36C514FC" w:rsidR="007068FA" w:rsidRDefault="00CC72F2">
          <w:pPr>
            <w:pStyle w:val="TOC3"/>
            <w:tabs>
              <w:tab w:val="right" w:leader="dot" w:pos="12950"/>
            </w:tabs>
            <w:rPr>
              <w:rFonts w:eastAsiaTheme="minorEastAsia"/>
              <w:noProof/>
              <w:sz w:val="22"/>
              <w:szCs w:val="22"/>
            </w:rPr>
          </w:pPr>
          <w:hyperlink w:anchor="_Toc107345863" w:history="1">
            <w:r w:rsidR="007068FA" w:rsidRPr="003016C4">
              <w:rPr>
                <w:rStyle w:val="Hyperlink"/>
                <w:rFonts w:cs="Times New Roman"/>
                <w:i/>
                <w:iCs/>
                <w:noProof/>
                <w:highlight w:val="yellow"/>
              </w:rPr>
              <w:t>DLR 11.3: Strengthened the foundation for state property taxation by updating property records in urban areas</w:t>
            </w:r>
            <w:r w:rsidR="007068FA" w:rsidRPr="003016C4">
              <w:rPr>
                <w:noProof/>
                <w:webHidden/>
                <w:highlight w:val="yellow"/>
              </w:rPr>
              <w:tab/>
            </w:r>
            <w:r w:rsidR="007068FA" w:rsidRPr="003016C4">
              <w:rPr>
                <w:noProof/>
                <w:webHidden/>
                <w:highlight w:val="yellow"/>
              </w:rPr>
              <w:fldChar w:fldCharType="begin"/>
            </w:r>
            <w:r w:rsidR="007068FA" w:rsidRPr="003016C4">
              <w:rPr>
                <w:noProof/>
                <w:webHidden/>
                <w:highlight w:val="yellow"/>
              </w:rPr>
              <w:instrText xml:space="preserve"> PAGEREF _Toc107345863 \h </w:instrText>
            </w:r>
            <w:r w:rsidR="007068FA" w:rsidRPr="003016C4">
              <w:rPr>
                <w:noProof/>
                <w:webHidden/>
                <w:highlight w:val="yellow"/>
              </w:rPr>
            </w:r>
            <w:r w:rsidR="007068FA" w:rsidRPr="003016C4">
              <w:rPr>
                <w:noProof/>
                <w:webHidden/>
                <w:highlight w:val="yellow"/>
              </w:rPr>
              <w:fldChar w:fldCharType="separate"/>
            </w:r>
            <w:r w:rsidR="00A11F6A">
              <w:rPr>
                <w:noProof/>
                <w:webHidden/>
                <w:highlight w:val="yellow"/>
              </w:rPr>
              <w:t>69</w:t>
            </w:r>
            <w:r w:rsidR="007068FA" w:rsidRPr="003016C4">
              <w:rPr>
                <w:noProof/>
                <w:webHidden/>
                <w:highlight w:val="yellow"/>
              </w:rPr>
              <w:fldChar w:fldCharType="end"/>
            </w:r>
          </w:hyperlink>
        </w:p>
        <w:p w14:paraId="7DC1296F" w14:textId="6B507004" w:rsidR="007068FA" w:rsidRDefault="00CC72F2">
          <w:pPr>
            <w:pStyle w:val="TOC3"/>
            <w:tabs>
              <w:tab w:val="right" w:leader="dot" w:pos="12950"/>
            </w:tabs>
            <w:rPr>
              <w:rFonts w:eastAsiaTheme="minorEastAsia"/>
              <w:noProof/>
              <w:sz w:val="22"/>
              <w:szCs w:val="22"/>
            </w:rPr>
          </w:pPr>
          <w:hyperlink w:anchor="_Toc107345864" w:history="1">
            <w:r w:rsidR="007068FA" w:rsidRPr="00CE4D03">
              <w:rPr>
                <w:rStyle w:val="Hyperlink"/>
                <w:noProof/>
              </w:rPr>
              <w:t>DLI 12: Strengthened procurement function for COVID-19 or emergency situation and facilitated participation of SMEs in public procurement in the resilient recovery phase</w:t>
            </w:r>
            <w:r w:rsidR="007068FA">
              <w:rPr>
                <w:noProof/>
                <w:webHidden/>
              </w:rPr>
              <w:tab/>
            </w:r>
            <w:r w:rsidR="007068FA">
              <w:rPr>
                <w:noProof/>
                <w:webHidden/>
              </w:rPr>
              <w:fldChar w:fldCharType="begin"/>
            </w:r>
            <w:r w:rsidR="007068FA">
              <w:rPr>
                <w:noProof/>
                <w:webHidden/>
              </w:rPr>
              <w:instrText xml:space="preserve"> PAGEREF _Toc107345864 \h </w:instrText>
            </w:r>
            <w:r w:rsidR="007068FA">
              <w:rPr>
                <w:noProof/>
                <w:webHidden/>
              </w:rPr>
            </w:r>
            <w:r w:rsidR="007068FA">
              <w:rPr>
                <w:noProof/>
                <w:webHidden/>
              </w:rPr>
              <w:fldChar w:fldCharType="separate"/>
            </w:r>
            <w:r w:rsidR="00A11F6A">
              <w:rPr>
                <w:noProof/>
                <w:webHidden/>
              </w:rPr>
              <w:t>71</w:t>
            </w:r>
            <w:r w:rsidR="007068FA">
              <w:rPr>
                <w:noProof/>
                <w:webHidden/>
              </w:rPr>
              <w:fldChar w:fldCharType="end"/>
            </w:r>
          </w:hyperlink>
        </w:p>
        <w:p w14:paraId="765F8CB2" w14:textId="256E68C4" w:rsidR="007068FA" w:rsidRDefault="00CC72F2">
          <w:pPr>
            <w:pStyle w:val="TOC3"/>
            <w:tabs>
              <w:tab w:val="right" w:leader="dot" w:pos="12950"/>
            </w:tabs>
            <w:rPr>
              <w:rFonts w:eastAsiaTheme="minorEastAsia"/>
              <w:noProof/>
              <w:sz w:val="22"/>
              <w:szCs w:val="22"/>
            </w:rPr>
          </w:pPr>
          <w:hyperlink w:anchor="_Toc107345865" w:history="1">
            <w:r w:rsidR="007068FA" w:rsidRPr="00CE4D03">
              <w:rPr>
                <w:rStyle w:val="Hyperlink"/>
                <w:i/>
                <w:iCs/>
                <w:noProof/>
              </w:rPr>
              <w:t>DLR 13.1: Published an approved Amended 2020 COVID-19 responsive budget</w:t>
            </w:r>
            <w:r w:rsidR="007068FA">
              <w:rPr>
                <w:noProof/>
                <w:webHidden/>
              </w:rPr>
              <w:tab/>
            </w:r>
            <w:r w:rsidR="007068FA">
              <w:rPr>
                <w:noProof/>
                <w:webHidden/>
              </w:rPr>
              <w:fldChar w:fldCharType="begin"/>
            </w:r>
            <w:r w:rsidR="007068FA">
              <w:rPr>
                <w:noProof/>
                <w:webHidden/>
              </w:rPr>
              <w:instrText xml:space="preserve"> PAGEREF _Toc107345865 \h </w:instrText>
            </w:r>
            <w:r w:rsidR="007068FA">
              <w:rPr>
                <w:noProof/>
                <w:webHidden/>
              </w:rPr>
            </w:r>
            <w:r w:rsidR="007068FA">
              <w:rPr>
                <w:noProof/>
                <w:webHidden/>
              </w:rPr>
              <w:fldChar w:fldCharType="separate"/>
            </w:r>
            <w:r w:rsidR="00A11F6A">
              <w:rPr>
                <w:noProof/>
                <w:webHidden/>
              </w:rPr>
              <w:t>73</w:t>
            </w:r>
            <w:r w:rsidR="007068FA">
              <w:rPr>
                <w:noProof/>
                <w:webHidden/>
              </w:rPr>
              <w:fldChar w:fldCharType="end"/>
            </w:r>
          </w:hyperlink>
        </w:p>
        <w:p w14:paraId="4AA56ECA" w14:textId="3BB4BBC8" w:rsidR="007068FA" w:rsidRDefault="00CC72F2">
          <w:pPr>
            <w:pStyle w:val="TOC3"/>
            <w:tabs>
              <w:tab w:val="right" w:leader="dot" w:pos="12950"/>
            </w:tabs>
            <w:rPr>
              <w:rFonts w:eastAsiaTheme="minorEastAsia"/>
              <w:noProof/>
              <w:sz w:val="22"/>
              <w:szCs w:val="22"/>
            </w:rPr>
          </w:pPr>
          <w:hyperlink w:anchor="_Toc107345866" w:history="1">
            <w:r w:rsidR="007068FA" w:rsidRPr="00CE4D03">
              <w:rPr>
                <w:rStyle w:val="Hyperlink"/>
                <w:i/>
                <w:iCs/>
                <w:noProof/>
              </w:rPr>
              <w:t>DLRs 13.2 and 13.3 High budget execution of COVID-19 response expenditures</w:t>
            </w:r>
            <w:r w:rsidR="007068FA">
              <w:rPr>
                <w:noProof/>
                <w:webHidden/>
              </w:rPr>
              <w:tab/>
            </w:r>
            <w:r w:rsidR="007068FA">
              <w:rPr>
                <w:noProof/>
                <w:webHidden/>
              </w:rPr>
              <w:fldChar w:fldCharType="begin"/>
            </w:r>
            <w:r w:rsidR="007068FA">
              <w:rPr>
                <w:noProof/>
                <w:webHidden/>
              </w:rPr>
              <w:instrText xml:space="preserve"> PAGEREF _Toc107345866 \h </w:instrText>
            </w:r>
            <w:r w:rsidR="007068FA">
              <w:rPr>
                <w:noProof/>
                <w:webHidden/>
              </w:rPr>
            </w:r>
            <w:r w:rsidR="007068FA">
              <w:rPr>
                <w:noProof/>
                <w:webHidden/>
              </w:rPr>
              <w:fldChar w:fldCharType="separate"/>
            </w:r>
            <w:r w:rsidR="00A11F6A">
              <w:rPr>
                <w:noProof/>
                <w:webHidden/>
              </w:rPr>
              <w:t>75</w:t>
            </w:r>
            <w:r w:rsidR="007068FA">
              <w:rPr>
                <w:noProof/>
                <w:webHidden/>
              </w:rPr>
              <w:fldChar w:fldCharType="end"/>
            </w:r>
          </w:hyperlink>
        </w:p>
        <w:p w14:paraId="5260AEDD" w14:textId="47982B67" w:rsidR="00BE535C" w:rsidRPr="00F66630" w:rsidRDefault="00BE535C">
          <w:pPr>
            <w:rPr>
              <w:rFonts w:cstheme="minorHAnsi"/>
              <w:sz w:val="24"/>
              <w:szCs w:val="24"/>
            </w:rPr>
          </w:pPr>
          <w:r w:rsidRPr="00F66630">
            <w:rPr>
              <w:rFonts w:ascii="Times New Roman" w:hAnsi="Times New Roman" w:cs="Times New Roman"/>
              <w:b/>
              <w:bCs/>
              <w:noProof/>
            </w:rPr>
            <w:lastRenderedPageBreak/>
            <w:fldChar w:fldCharType="end"/>
          </w:r>
        </w:p>
      </w:sdtContent>
    </w:sdt>
    <w:p w14:paraId="70542D85" w14:textId="1C0F5651" w:rsidR="001553C6" w:rsidRPr="00F66630" w:rsidRDefault="00A9594C" w:rsidP="001B1916">
      <w:pPr>
        <w:pStyle w:val="Minh"/>
        <w:numPr>
          <w:ilvl w:val="0"/>
          <w:numId w:val="9"/>
        </w:numPr>
        <w:spacing w:before="0"/>
        <w:jc w:val="left"/>
        <w:outlineLvl w:val="0"/>
        <w:rPr>
          <w:b/>
        </w:rPr>
      </w:pPr>
      <w:r w:rsidRPr="00F66630">
        <w:rPr>
          <w:b/>
        </w:rPr>
        <w:br w:type="page"/>
      </w:r>
      <w:bookmarkStart w:id="0" w:name="_Toc107345837"/>
      <w:r w:rsidR="001553C6" w:rsidRPr="00F66630">
        <w:rPr>
          <w:b/>
        </w:rPr>
        <w:lastRenderedPageBreak/>
        <w:t>ORIGINAL DISBURSEMENT-LINKED INDICATORS (DLIs)</w:t>
      </w:r>
      <w:r w:rsidR="00B54AAD" w:rsidRPr="00F66630">
        <w:rPr>
          <w:b/>
        </w:rPr>
        <w:t xml:space="preserve"> </w:t>
      </w:r>
      <w:r w:rsidR="006F2080" w:rsidRPr="00F66630">
        <w:rPr>
          <w:b/>
        </w:rPr>
        <w:t>AND ELIGIBLITY CRITERIA</w:t>
      </w:r>
      <w:r w:rsidR="00E44BD2" w:rsidRPr="00F66630">
        <w:rPr>
          <w:b/>
        </w:rPr>
        <w:t xml:space="preserve"> (EC)</w:t>
      </w:r>
      <w:bookmarkEnd w:id="0"/>
    </w:p>
    <w:p w14:paraId="35101E15" w14:textId="07184399" w:rsidR="00352E5A" w:rsidRPr="00F66630" w:rsidRDefault="00352E5A" w:rsidP="0050360D">
      <w:pPr>
        <w:pStyle w:val="Minh"/>
        <w:numPr>
          <w:ilvl w:val="0"/>
          <w:numId w:val="45"/>
        </w:numPr>
        <w:spacing w:before="0"/>
        <w:jc w:val="left"/>
        <w:outlineLvl w:val="2"/>
        <w:rPr>
          <w:b/>
        </w:rPr>
      </w:pPr>
      <w:bookmarkStart w:id="1" w:name="_Toc107345838"/>
      <w:r w:rsidRPr="00F66630">
        <w:rPr>
          <w:b/>
        </w:rPr>
        <w:t>Eligibility Criteria (EC)</w:t>
      </w:r>
      <w:r w:rsidR="00972A06" w:rsidRPr="00F66630">
        <w:rPr>
          <w:b/>
        </w:rPr>
        <w:t xml:space="preserve"> </w:t>
      </w:r>
      <w:r w:rsidR="00B54AAD" w:rsidRPr="00F66630">
        <w:rPr>
          <w:b/>
        </w:rPr>
        <w:t xml:space="preserve">for ORIGINAL </w:t>
      </w:r>
      <w:r w:rsidR="00DB593D" w:rsidRPr="00F66630">
        <w:rPr>
          <w:b/>
        </w:rPr>
        <w:t>Disbursement-Linked Indicators (DLI)</w:t>
      </w:r>
      <w:bookmarkEnd w:id="1"/>
    </w:p>
    <w:p w14:paraId="7BA492B3" w14:textId="3C341EE8" w:rsidR="0014668D" w:rsidRPr="00F66630" w:rsidRDefault="0014668D" w:rsidP="00352E5A">
      <w:pPr>
        <w:pStyle w:val="Minh"/>
        <w:numPr>
          <w:ilvl w:val="0"/>
          <w:numId w:val="0"/>
        </w:numPr>
        <w:spacing w:before="0"/>
      </w:pPr>
      <w:r w:rsidRPr="00F66630">
        <w:t>For</w:t>
      </w:r>
      <w:r w:rsidR="009F6885" w:rsidRPr="00F66630">
        <w:t xml:space="preserve"> </w:t>
      </w:r>
      <w:r w:rsidRPr="00F66630">
        <w:t>each year</w:t>
      </w:r>
      <w:r w:rsidR="002C41EC" w:rsidRPr="00F66630">
        <w:t xml:space="preserve"> of the Program,</w:t>
      </w:r>
      <w:r w:rsidR="00B04505" w:rsidRPr="00F66630">
        <w:t xml:space="preserve"> </w:t>
      </w:r>
      <w:proofErr w:type="gramStart"/>
      <w:r w:rsidR="00B04505" w:rsidRPr="00F66630">
        <w:t>in order to</w:t>
      </w:r>
      <w:proofErr w:type="gramEnd"/>
      <w:r w:rsidR="00B04505" w:rsidRPr="00F66630">
        <w:t xml:space="preserve"> be eligible to receive </w:t>
      </w:r>
      <w:r w:rsidR="00454BE0" w:rsidRPr="00F66630">
        <w:t>funds</w:t>
      </w:r>
      <w:r w:rsidR="00B04505" w:rsidRPr="00F66630">
        <w:t xml:space="preserve"> for achievement of the disbursement-linked results for that year, states need to achieve the annual Eligibility Criteria.</w:t>
      </w:r>
      <w:r w:rsidR="002C41EC" w:rsidRPr="00F66630">
        <w:t xml:space="preserve"> </w:t>
      </w:r>
      <w:r w:rsidR="00B04505" w:rsidRPr="00F66630">
        <w:t xml:space="preserve">The annual Eligibility Criteria comprise of two parts as shown in the table below: </w:t>
      </w:r>
      <w:r w:rsidR="00282442">
        <w:t>(</w:t>
      </w:r>
      <w:r w:rsidR="00B04505" w:rsidRPr="00F66630">
        <w:t xml:space="preserve">1) Publication </w:t>
      </w:r>
      <w:r w:rsidR="00DC7AAE" w:rsidRPr="00F66630">
        <w:t xml:space="preserve">online </w:t>
      </w:r>
      <w:r w:rsidR="009F6885" w:rsidRPr="00F66630">
        <w:t xml:space="preserve">on a </w:t>
      </w:r>
      <w:r w:rsidR="0008420C" w:rsidRPr="00F66630">
        <w:t>timely basis the annual approved state budget</w:t>
      </w:r>
      <w:r w:rsidR="00B04505" w:rsidRPr="00F66630">
        <w:t>;</w:t>
      </w:r>
      <w:r w:rsidR="009F6885" w:rsidRPr="00F66630">
        <w:t xml:space="preserve"> and </w:t>
      </w:r>
      <w:r w:rsidR="00282442">
        <w:t>(</w:t>
      </w:r>
      <w:r w:rsidR="00B04505" w:rsidRPr="00F66630">
        <w:t xml:space="preserve">2) Publication online of the </w:t>
      </w:r>
      <w:r w:rsidR="009F6885" w:rsidRPr="00F66630">
        <w:t>annual</w:t>
      </w:r>
      <w:r w:rsidR="00BC3415" w:rsidRPr="00F66630">
        <w:t xml:space="preserve"> audited financial statements</w:t>
      </w:r>
      <w:r w:rsidR="009F6885" w:rsidRPr="00F66630">
        <w:t xml:space="preserve">. In years 3 and 4 of the Program, </w:t>
      </w:r>
      <w:r w:rsidR="00C5733A" w:rsidRPr="00F66630">
        <w:t>s</w:t>
      </w:r>
      <w:r w:rsidR="00670E7E" w:rsidRPr="00F66630">
        <w:t>tates</w:t>
      </w:r>
      <w:r w:rsidR="006F2DFF" w:rsidRPr="00F66630">
        <w:t xml:space="preserve"> are further required</w:t>
      </w:r>
      <w:r w:rsidR="009F6885" w:rsidRPr="00F66630">
        <w:t xml:space="preserve"> to align with international best practices</w:t>
      </w:r>
      <w:r w:rsidRPr="00F66630">
        <w:t xml:space="preserve"> through</w:t>
      </w:r>
      <w:r w:rsidR="006F2DFF" w:rsidRPr="00F66630">
        <w:t>: (1) t</w:t>
      </w:r>
      <w:r w:rsidR="009F6885" w:rsidRPr="00F66630">
        <w:t>he use of the national chart of accounts</w:t>
      </w:r>
      <w:r w:rsidR="006F2DFF" w:rsidRPr="00F66630">
        <w:t xml:space="preserve">, to prepare the </w:t>
      </w:r>
      <w:r w:rsidR="00C5733A" w:rsidRPr="00F66630">
        <w:t>s</w:t>
      </w:r>
      <w:r w:rsidR="00670E7E" w:rsidRPr="00F66630">
        <w:t>tates</w:t>
      </w:r>
      <w:r w:rsidR="009F6885" w:rsidRPr="00F66630">
        <w:t>’ annual budgets and thus foster comparability of bud</w:t>
      </w:r>
      <w:r w:rsidR="006F2DFF" w:rsidRPr="00F66630">
        <w:t>get classifications acros</w:t>
      </w:r>
      <w:r w:rsidR="0049232C" w:rsidRPr="00F66630">
        <w:t xml:space="preserve">s the federation; and (2) </w:t>
      </w:r>
      <w:proofErr w:type="gramStart"/>
      <w:r w:rsidR="00C5733A" w:rsidRPr="00F66630">
        <w:t>s</w:t>
      </w:r>
      <w:r w:rsidR="00670E7E" w:rsidRPr="00F66630">
        <w:t>tates</w:t>
      </w:r>
      <w:r w:rsidR="0049232C" w:rsidRPr="00F66630">
        <w:t>’</w:t>
      </w:r>
      <w:proofErr w:type="gramEnd"/>
      <w:r w:rsidR="006F2DFF" w:rsidRPr="00F66630">
        <w:t xml:space="preserve"> </w:t>
      </w:r>
      <w:r w:rsidR="009F6885" w:rsidRPr="00F66630">
        <w:t xml:space="preserve">audited financial statements </w:t>
      </w:r>
      <w:r w:rsidR="0049232C" w:rsidRPr="00F66630">
        <w:t xml:space="preserve">are </w:t>
      </w:r>
      <w:r w:rsidR="00923FDF" w:rsidRPr="00F66630">
        <w:t xml:space="preserve">prepared in accordance </w:t>
      </w:r>
      <w:r w:rsidR="009F6885" w:rsidRPr="00F66630">
        <w:t>with</w:t>
      </w:r>
      <w:r w:rsidR="00C9158E" w:rsidRPr="00F66630">
        <w:t xml:space="preserve"> </w:t>
      </w:r>
      <w:bookmarkStart w:id="2" w:name="_Hlk515625574"/>
      <w:r w:rsidR="00C9158E" w:rsidRPr="00F66630">
        <w:t xml:space="preserve">International Public Sector Accounting Standards </w:t>
      </w:r>
      <w:bookmarkEnd w:id="2"/>
      <w:r w:rsidR="00C9158E" w:rsidRPr="00F66630">
        <w:t>(</w:t>
      </w:r>
      <w:r w:rsidR="006F2DFF" w:rsidRPr="00F66630">
        <w:t>IPSAS</w:t>
      </w:r>
      <w:r w:rsidR="00C9158E" w:rsidRPr="00F66630">
        <w:t>)</w:t>
      </w:r>
      <w:r w:rsidR="009F6885" w:rsidRPr="00F66630">
        <w:t>.</w:t>
      </w:r>
      <w:r w:rsidR="00CC2DD0" w:rsidRPr="00F66630">
        <w:t xml:space="preserve"> </w:t>
      </w:r>
    </w:p>
    <w:p w14:paraId="79E22660" w14:textId="057FEF82" w:rsidR="00435254" w:rsidRPr="00F66630" w:rsidRDefault="00B04505" w:rsidP="00B52BC2">
      <w:pPr>
        <w:pStyle w:val="Minh"/>
        <w:numPr>
          <w:ilvl w:val="0"/>
          <w:numId w:val="0"/>
        </w:numPr>
        <w:spacing w:before="0"/>
        <w:jc w:val="center"/>
      </w:pPr>
      <w:r w:rsidRPr="00F66630">
        <w:rPr>
          <w:b/>
        </w:rPr>
        <w:t xml:space="preserve">Annual </w:t>
      </w:r>
      <w:r w:rsidR="00435254" w:rsidRPr="00F66630">
        <w:rPr>
          <w:b/>
        </w:rPr>
        <w:t xml:space="preserve">Eligibility Criteria </w:t>
      </w:r>
      <w:r w:rsidR="00622784" w:rsidRPr="00F66630">
        <w:rPr>
          <w:b/>
        </w:rPr>
        <w:t>(</w:t>
      </w:r>
      <w:r w:rsidR="00435254" w:rsidRPr="00F66630">
        <w:rPr>
          <w:b/>
        </w:rPr>
        <w:t>2018-2021</w:t>
      </w:r>
      <w:r w:rsidR="00622784" w:rsidRPr="00F66630">
        <w:rPr>
          <w:b/>
        </w:rPr>
        <w:t>)</w:t>
      </w:r>
      <w:r w:rsidR="00972A06" w:rsidRPr="00F66630">
        <w:rPr>
          <w:b/>
        </w:rPr>
        <w:t xml:space="preserve"> Table</w:t>
      </w:r>
    </w:p>
    <w:tbl>
      <w:tblPr>
        <w:tblStyle w:val="TableGrid"/>
        <w:tblW w:w="5000" w:type="pct"/>
        <w:tblLook w:val="04A0" w:firstRow="1" w:lastRow="0" w:firstColumn="1" w:lastColumn="0" w:noHBand="0" w:noVBand="1"/>
      </w:tblPr>
      <w:tblGrid>
        <w:gridCol w:w="3237"/>
        <w:gridCol w:w="3237"/>
        <w:gridCol w:w="3238"/>
        <w:gridCol w:w="3238"/>
      </w:tblGrid>
      <w:tr w:rsidR="005A1975" w:rsidRPr="00F66630" w14:paraId="20892847" w14:textId="77777777" w:rsidTr="005A1975">
        <w:trPr>
          <w:trHeight w:val="278"/>
          <w:tblHeader/>
        </w:trPr>
        <w:tc>
          <w:tcPr>
            <w:tcW w:w="1250" w:type="pct"/>
            <w:shd w:val="clear" w:color="auto" w:fill="FDE9D9" w:themeFill="accent6" w:themeFillTint="33"/>
          </w:tcPr>
          <w:p w14:paraId="6BC29BEF" w14:textId="49D12B5C" w:rsidR="005A1975" w:rsidRPr="00F66630" w:rsidRDefault="005A1975" w:rsidP="00EE5E9B">
            <w:pPr>
              <w:jc w:val="center"/>
              <w:rPr>
                <w:rFonts w:ascii="Times New Roman" w:hAnsi="Times New Roman" w:cs="Times New Roman"/>
                <w:b/>
                <w:sz w:val="24"/>
                <w:szCs w:val="24"/>
              </w:rPr>
            </w:pPr>
            <w:r w:rsidRPr="00F66630">
              <w:rPr>
                <w:rFonts w:ascii="Times New Roman" w:hAnsi="Times New Roman" w:cs="Times New Roman"/>
                <w:b/>
                <w:sz w:val="24"/>
                <w:szCs w:val="24"/>
              </w:rPr>
              <w:t xml:space="preserve">Year 1 </w:t>
            </w:r>
            <w:r w:rsidR="00217B0B" w:rsidRPr="00F66630">
              <w:rPr>
                <w:rFonts w:ascii="Times New Roman" w:hAnsi="Times New Roman" w:cs="Times New Roman"/>
                <w:b/>
                <w:sz w:val="24"/>
                <w:szCs w:val="24"/>
              </w:rPr>
              <w:t>–</w:t>
            </w:r>
            <w:r w:rsidRPr="00F66630">
              <w:rPr>
                <w:rFonts w:ascii="Times New Roman" w:hAnsi="Times New Roman" w:cs="Times New Roman"/>
                <w:b/>
                <w:sz w:val="24"/>
                <w:szCs w:val="24"/>
              </w:rPr>
              <w:t xml:space="preserve"> 2018</w:t>
            </w:r>
          </w:p>
        </w:tc>
        <w:tc>
          <w:tcPr>
            <w:tcW w:w="1250" w:type="pct"/>
            <w:shd w:val="clear" w:color="auto" w:fill="FDE9D9" w:themeFill="accent6" w:themeFillTint="33"/>
          </w:tcPr>
          <w:p w14:paraId="23E50E92" w14:textId="77777777" w:rsidR="005A1975" w:rsidRPr="00F66630" w:rsidRDefault="005A1975" w:rsidP="00EE5E9B">
            <w:pPr>
              <w:jc w:val="center"/>
              <w:rPr>
                <w:rFonts w:ascii="Times New Roman" w:hAnsi="Times New Roman" w:cs="Times New Roman"/>
                <w:b/>
                <w:sz w:val="24"/>
                <w:szCs w:val="24"/>
              </w:rPr>
            </w:pPr>
            <w:r w:rsidRPr="00F66630">
              <w:rPr>
                <w:rFonts w:ascii="Times New Roman" w:hAnsi="Times New Roman" w:cs="Times New Roman"/>
                <w:b/>
                <w:sz w:val="24"/>
                <w:szCs w:val="24"/>
              </w:rPr>
              <w:t>Year 2 - 2019</w:t>
            </w:r>
          </w:p>
        </w:tc>
        <w:tc>
          <w:tcPr>
            <w:tcW w:w="1250" w:type="pct"/>
            <w:shd w:val="clear" w:color="auto" w:fill="FDE9D9" w:themeFill="accent6" w:themeFillTint="33"/>
          </w:tcPr>
          <w:p w14:paraId="256CBC80" w14:textId="77777777" w:rsidR="005A1975" w:rsidRPr="00F66630" w:rsidRDefault="005A1975" w:rsidP="00EE5E9B">
            <w:pPr>
              <w:jc w:val="center"/>
              <w:rPr>
                <w:rFonts w:ascii="Times New Roman" w:hAnsi="Times New Roman" w:cs="Times New Roman"/>
                <w:b/>
                <w:sz w:val="24"/>
                <w:szCs w:val="24"/>
              </w:rPr>
            </w:pPr>
            <w:r w:rsidRPr="00F66630">
              <w:rPr>
                <w:rFonts w:ascii="Times New Roman" w:hAnsi="Times New Roman" w:cs="Times New Roman"/>
                <w:b/>
                <w:sz w:val="24"/>
                <w:szCs w:val="24"/>
              </w:rPr>
              <w:t>Year 3 - 2020</w:t>
            </w:r>
          </w:p>
        </w:tc>
        <w:tc>
          <w:tcPr>
            <w:tcW w:w="1250" w:type="pct"/>
            <w:shd w:val="clear" w:color="auto" w:fill="FDE9D9" w:themeFill="accent6" w:themeFillTint="33"/>
          </w:tcPr>
          <w:p w14:paraId="57883C96" w14:textId="77777777" w:rsidR="005A1975" w:rsidRPr="00F66630" w:rsidRDefault="005A1975" w:rsidP="00EE5E9B">
            <w:pPr>
              <w:jc w:val="center"/>
              <w:rPr>
                <w:rFonts w:ascii="Times New Roman" w:hAnsi="Times New Roman" w:cs="Times New Roman"/>
                <w:b/>
                <w:sz w:val="24"/>
                <w:szCs w:val="24"/>
              </w:rPr>
            </w:pPr>
            <w:r w:rsidRPr="00F66630">
              <w:rPr>
                <w:rFonts w:ascii="Times New Roman" w:hAnsi="Times New Roman" w:cs="Times New Roman"/>
                <w:b/>
                <w:sz w:val="24"/>
                <w:szCs w:val="24"/>
              </w:rPr>
              <w:t>Year 4 - 2021</w:t>
            </w:r>
          </w:p>
        </w:tc>
      </w:tr>
      <w:tr w:rsidR="005A1975" w:rsidRPr="00F66630" w14:paraId="148BD678" w14:textId="77777777" w:rsidTr="005A1975">
        <w:trPr>
          <w:trHeight w:val="458"/>
        </w:trPr>
        <w:tc>
          <w:tcPr>
            <w:tcW w:w="1250" w:type="pct"/>
            <w:shd w:val="clear" w:color="auto" w:fill="F2F2F2" w:themeFill="background1" w:themeFillShade="F2"/>
          </w:tcPr>
          <w:p w14:paraId="423CD0EB" w14:textId="7ECD6A9B"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 xml:space="preserve">FY19 state budget approved by the State Assembly and published online by end Feb 2019 </w:t>
            </w:r>
          </w:p>
          <w:p w14:paraId="3227A93B" w14:textId="70D6D15C" w:rsidR="005A1975" w:rsidRPr="00F66630" w:rsidRDefault="005A1975" w:rsidP="00EE5E9B">
            <w:pPr>
              <w:rPr>
                <w:rFonts w:ascii="Times New Roman" w:hAnsi="Times New Roman" w:cs="Times New Roman"/>
                <w:sz w:val="24"/>
                <w:szCs w:val="24"/>
              </w:rPr>
            </w:pPr>
          </w:p>
          <w:p w14:paraId="74E38DA1" w14:textId="77777777" w:rsidR="005A1975" w:rsidRPr="00F66630" w:rsidRDefault="005A1975" w:rsidP="00EE5E9B">
            <w:pPr>
              <w:rPr>
                <w:rFonts w:ascii="Times New Roman" w:hAnsi="Times New Roman" w:cs="Times New Roman"/>
                <w:sz w:val="24"/>
                <w:szCs w:val="24"/>
              </w:rPr>
            </w:pPr>
          </w:p>
          <w:p w14:paraId="5DCD5C2D" w14:textId="77777777"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 xml:space="preserve">AND </w:t>
            </w:r>
          </w:p>
          <w:p w14:paraId="4460CF47" w14:textId="77777777" w:rsidR="005A1975" w:rsidRPr="00F66630" w:rsidRDefault="005A1975" w:rsidP="00EE5E9B">
            <w:pPr>
              <w:rPr>
                <w:rFonts w:ascii="Times New Roman" w:hAnsi="Times New Roman" w:cs="Times New Roman"/>
                <w:sz w:val="24"/>
                <w:szCs w:val="24"/>
              </w:rPr>
            </w:pPr>
          </w:p>
          <w:p w14:paraId="1B85AA45" w14:textId="2A561B44"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FY17 audited financial statement submitted to the State Assembly and published by Dec 2018</w:t>
            </w:r>
          </w:p>
        </w:tc>
        <w:tc>
          <w:tcPr>
            <w:tcW w:w="1250" w:type="pct"/>
            <w:shd w:val="clear" w:color="auto" w:fill="F2F2F2" w:themeFill="background1" w:themeFillShade="F2"/>
          </w:tcPr>
          <w:p w14:paraId="71E1D2FC" w14:textId="0C268418"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FY20 state budget approved by the State Assembly and published online by end Jan 2020</w:t>
            </w:r>
          </w:p>
          <w:p w14:paraId="7F67F70B" w14:textId="577818B0" w:rsidR="005A1975" w:rsidRPr="00F66630" w:rsidRDefault="005A1975" w:rsidP="00EE5E9B">
            <w:pPr>
              <w:rPr>
                <w:rFonts w:ascii="Times New Roman" w:hAnsi="Times New Roman" w:cs="Times New Roman"/>
                <w:sz w:val="24"/>
                <w:szCs w:val="24"/>
              </w:rPr>
            </w:pPr>
          </w:p>
          <w:p w14:paraId="355801D0" w14:textId="740EC10B" w:rsidR="005A1975" w:rsidRPr="00F66630" w:rsidRDefault="005A1975" w:rsidP="00EE5E9B">
            <w:pPr>
              <w:rPr>
                <w:rFonts w:ascii="Times New Roman" w:hAnsi="Times New Roman" w:cs="Times New Roman"/>
                <w:sz w:val="24"/>
                <w:szCs w:val="24"/>
              </w:rPr>
            </w:pPr>
          </w:p>
          <w:p w14:paraId="752561A8" w14:textId="77777777"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AND</w:t>
            </w:r>
          </w:p>
          <w:p w14:paraId="562E8849" w14:textId="77777777" w:rsidR="005A1975" w:rsidRPr="00F66630" w:rsidRDefault="005A1975" w:rsidP="00EE5E9B">
            <w:pPr>
              <w:rPr>
                <w:rFonts w:ascii="Times New Roman" w:hAnsi="Times New Roman" w:cs="Times New Roman"/>
                <w:sz w:val="24"/>
                <w:szCs w:val="24"/>
              </w:rPr>
            </w:pPr>
          </w:p>
          <w:p w14:paraId="2FB74989" w14:textId="131CE29E"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FY18 audited financial statement submitted to the State Assembly and published by Sept 2019</w:t>
            </w:r>
          </w:p>
          <w:p w14:paraId="258CCF4F" w14:textId="77777777" w:rsidR="005A1975" w:rsidRPr="00F66630" w:rsidRDefault="005A1975" w:rsidP="00EE5E9B">
            <w:pPr>
              <w:rPr>
                <w:rFonts w:ascii="Times New Roman" w:hAnsi="Times New Roman" w:cs="Times New Roman"/>
                <w:sz w:val="24"/>
                <w:szCs w:val="24"/>
              </w:rPr>
            </w:pPr>
          </w:p>
        </w:tc>
        <w:tc>
          <w:tcPr>
            <w:tcW w:w="1250" w:type="pct"/>
            <w:shd w:val="clear" w:color="auto" w:fill="F2F2F2" w:themeFill="background1" w:themeFillShade="F2"/>
          </w:tcPr>
          <w:p w14:paraId="25F9C891" w14:textId="18562800" w:rsidR="005A1975" w:rsidRPr="00F66630" w:rsidRDefault="005A1975" w:rsidP="00EE5E9B">
            <w:pPr>
              <w:rPr>
                <w:rFonts w:ascii="Times New Roman" w:hAnsi="Times New Roman" w:cs="Times New Roman"/>
                <w:sz w:val="24"/>
                <w:szCs w:val="24"/>
              </w:rPr>
            </w:pPr>
            <w:bookmarkStart w:id="3" w:name="_Hlk57735013"/>
            <w:r w:rsidRPr="00F66630">
              <w:rPr>
                <w:rFonts w:ascii="Times New Roman" w:hAnsi="Times New Roman" w:cs="Times New Roman"/>
                <w:sz w:val="24"/>
                <w:szCs w:val="24"/>
              </w:rPr>
              <w:t xml:space="preserve">FY21 state budget, prepared under national Chart of Accounts, approved by the State </w:t>
            </w:r>
            <w:proofErr w:type="gramStart"/>
            <w:r w:rsidRPr="00F66630">
              <w:rPr>
                <w:rFonts w:ascii="Times New Roman" w:hAnsi="Times New Roman" w:cs="Times New Roman"/>
                <w:sz w:val="24"/>
                <w:szCs w:val="24"/>
              </w:rPr>
              <w:t>Assembly</w:t>
            </w:r>
            <w:proofErr w:type="gramEnd"/>
            <w:r w:rsidRPr="00F66630">
              <w:rPr>
                <w:rFonts w:ascii="Times New Roman" w:hAnsi="Times New Roman" w:cs="Times New Roman"/>
                <w:sz w:val="24"/>
                <w:szCs w:val="24"/>
              </w:rPr>
              <w:t xml:space="preserve"> and published online by end Jan 2021 </w:t>
            </w:r>
          </w:p>
          <w:bookmarkEnd w:id="3"/>
          <w:p w14:paraId="7A90255C" w14:textId="77777777" w:rsidR="005A1975" w:rsidRPr="00F66630" w:rsidRDefault="005A1975" w:rsidP="00EE5E9B">
            <w:pPr>
              <w:rPr>
                <w:rFonts w:ascii="Times New Roman" w:hAnsi="Times New Roman" w:cs="Times New Roman"/>
                <w:sz w:val="24"/>
                <w:szCs w:val="24"/>
              </w:rPr>
            </w:pPr>
          </w:p>
          <w:p w14:paraId="1E2D56B3" w14:textId="77777777" w:rsidR="005A1975" w:rsidRPr="00F66630" w:rsidRDefault="005A1975" w:rsidP="0073106B">
            <w:pPr>
              <w:rPr>
                <w:rFonts w:ascii="Times New Roman" w:hAnsi="Times New Roman" w:cs="Times New Roman"/>
                <w:sz w:val="24"/>
                <w:szCs w:val="24"/>
              </w:rPr>
            </w:pPr>
            <w:r w:rsidRPr="00F66630">
              <w:rPr>
                <w:rFonts w:ascii="Times New Roman" w:hAnsi="Times New Roman" w:cs="Times New Roman"/>
                <w:sz w:val="24"/>
                <w:szCs w:val="24"/>
              </w:rPr>
              <w:t>AND</w:t>
            </w:r>
          </w:p>
          <w:p w14:paraId="2E5BCDA9" w14:textId="77777777" w:rsidR="005A1975" w:rsidRPr="00F66630" w:rsidRDefault="005A1975" w:rsidP="0073106B">
            <w:pPr>
              <w:rPr>
                <w:rFonts w:ascii="Times New Roman" w:hAnsi="Times New Roman" w:cs="Times New Roman"/>
                <w:sz w:val="24"/>
                <w:szCs w:val="24"/>
              </w:rPr>
            </w:pPr>
          </w:p>
          <w:p w14:paraId="7FF79B64" w14:textId="4C63DE81" w:rsidR="005A1975" w:rsidRPr="00F66630" w:rsidRDefault="005A1975" w:rsidP="0073106B">
            <w:pPr>
              <w:rPr>
                <w:rFonts w:ascii="Times New Roman" w:hAnsi="Times New Roman" w:cs="Times New Roman"/>
                <w:sz w:val="24"/>
                <w:szCs w:val="24"/>
              </w:rPr>
            </w:pPr>
            <w:r w:rsidRPr="00F66630">
              <w:rPr>
                <w:rFonts w:ascii="Times New Roman" w:hAnsi="Times New Roman" w:cs="Times New Roman"/>
                <w:sz w:val="24"/>
                <w:szCs w:val="24"/>
              </w:rPr>
              <w:t>FY19 audited financial statement, prepared in accordance with IPSAS, submitted to the State Assembly and published by Aug 2020</w:t>
            </w:r>
          </w:p>
        </w:tc>
        <w:tc>
          <w:tcPr>
            <w:tcW w:w="1250" w:type="pct"/>
            <w:shd w:val="clear" w:color="auto" w:fill="F2F2F2" w:themeFill="background1" w:themeFillShade="F2"/>
          </w:tcPr>
          <w:p w14:paraId="59114755" w14:textId="6FAEA651" w:rsidR="005A1975" w:rsidRPr="00F66630" w:rsidRDefault="005A1975" w:rsidP="00EE5E9B">
            <w:pPr>
              <w:rPr>
                <w:rFonts w:ascii="Times New Roman" w:hAnsi="Times New Roman" w:cs="Times New Roman"/>
                <w:sz w:val="24"/>
                <w:szCs w:val="24"/>
              </w:rPr>
            </w:pPr>
            <w:r w:rsidRPr="00F66630">
              <w:rPr>
                <w:rFonts w:ascii="Times New Roman" w:hAnsi="Times New Roman" w:cs="Times New Roman"/>
                <w:sz w:val="24"/>
                <w:szCs w:val="24"/>
              </w:rPr>
              <w:t xml:space="preserve">FY22 state budget, prepared under national Chart of Accounts, approved by the State </w:t>
            </w:r>
            <w:proofErr w:type="gramStart"/>
            <w:r w:rsidRPr="00F66630">
              <w:rPr>
                <w:rFonts w:ascii="Times New Roman" w:hAnsi="Times New Roman" w:cs="Times New Roman"/>
                <w:sz w:val="24"/>
                <w:szCs w:val="24"/>
              </w:rPr>
              <w:t>Assembly</w:t>
            </w:r>
            <w:proofErr w:type="gramEnd"/>
            <w:r w:rsidRPr="00F66630">
              <w:rPr>
                <w:rFonts w:ascii="Times New Roman" w:hAnsi="Times New Roman" w:cs="Times New Roman"/>
                <w:sz w:val="24"/>
                <w:szCs w:val="24"/>
              </w:rPr>
              <w:t xml:space="preserve"> and published online by end Jan 2022 </w:t>
            </w:r>
          </w:p>
          <w:p w14:paraId="06EA7966" w14:textId="77777777" w:rsidR="005A1975" w:rsidRPr="00F66630" w:rsidRDefault="005A1975" w:rsidP="00EE5E9B">
            <w:pPr>
              <w:rPr>
                <w:rFonts w:ascii="Times New Roman" w:hAnsi="Times New Roman" w:cs="Times New Roman"/>
                <w:sz w:val="24"/>
                <w:szCs w:val="24"/>
              </w:rPr>
            </w:pPr>
          </w:p>
          <w:p w14:paraId="4D524CF7" w14:textId="77777777" w:rsidR="005A1975" w:rsidRPr="00F66630" w:rsidRDefault="005A1975" w:rsidP="0073106B">
            <w:pPr>
              <w:rPr>
                <w:rFonts w:ascii="Times New Roman" w:hAnsi="Times New Roman" w:cs="Times New Roman"/>
                <w:sz w:val="24"/>
                <w:szCs w:val="24"/>
              </w:rPr>
            </w:pPr>
            <w:r w:rsidRPr="00F66630">
              <w:rPr>
                <w:rFonts w:ascii="Times New Roman" w:hAnsi="Times New Roman" w:cs="Times New Roman"/>
                <w:sz w:val="24"/>
                <w:szCs w:val="24"/>
              </w:rPr>
              <w:t>AND</w:t>
            </w:r>
          </w:p>
          <w:p w14:paraId="0F827F4F" w14:textId="77777777" w:rsidR="005A1975" w:rsidRPr="00F66630" w:rsidRDefault="005A1975" w:rsidP="0073106B">
            <w:pPr>
              <w:rPr>
                <w:rFonts w:ascii="Times New Roman" w:hAnsi="Times New Roman" w:cs="Times New Roman"/>
                <w:sz w:val="24"/>
                <w:szCs w:val="24"/>
              </w:rPr>
            </w:pPr>
          </w:p>
          <w:p w14:paraId="5DBB08A1" w14:textId="77777777" w:rsidR="005A1975" w:rsidRPr="00F66630" w:rsidRDefault="005A1975" w:rsidP="0073106B">
            <w:pPr>
              <w:rPr>
                <w:rFonts w:ascii="Times New Roman" w:hAnsi="Times New Roman" w:cs="Times New Roman"/>
                <w:sz w:val="24"/>
                <w:szCs w:val="24"/>
              </w:rPr>
            </w:pPr>
            <w:r w:rsidRPr="00F66630">
              <w:rPr>
                <w:rFonts w:ascii="Times New Roman" w:hAnsi="Times New Roman" w:cs="Times New Roman"/>
                <w:sz w:val="24"/>
                <w:szCs w:val="24"/>
              </w:rPr>
              <w:t>FY20 audited financial statement, prepared in accordance with IPSAS, submitted to the State Assembly and published by Jul 2021</w:t>
            </w:r>
          </w:p>
          <w:p w14:paraId="51F3E458" w14:textId="1C5AAD67" w:rsidR="005A1975" w:rsidRPr="00F66630" w:rsidRDefault="005A1975" w:rsidP="0073106B">
            <w:pPr>
              <w:rPr>
                <w:rFonts w:ascii="Times New Roman" w:hAnsi="Times New Roman" w:cs="Times New Roman"/>
                <w:sz w:val="24"/>
                <w:szCs w:val="24"/>
              </w:rPr>
            </w:pPr>
          </w:p>
        </w:tc>
      </w:tr>
    </w:tbl>
    <w:p w14:paraId="3EAC92A6" w14:textId="77777777" w:rsidR="008D0355" w:rsidRPr="00F66630" w:rsidRDefault="008D0355" w:rsidP="008D0355">
      <w:pPr>
        <w:pStyle w:val="Minh"/>
        <w:numPr>
          <w:ilvl w:val="0"/>
          <w:numId w:val="0"/>
        </w:numPr>
        <w:spacing w:before="0"/>
        <w:ind w:left="360"/>
        <w:rPr>
          <w:sz w:val="20"/>
          <w:szCs w:val="20"/>
        </w:rPr>
      </w:pPr>
    </w:p>
    <w:p w14:paraId="1389068F" w14:textId="77777777" w:rsidR="00452C3D" w:rsidRPr="00F66630" w:rsidRDefault="00452C3D" w:rsidP="00DE3293">
      <w:pPr>
        <w:pStyle w:val="Heading1"/>
        <w:numPr>
          <w:ilvl w:val="0"/>
          <w:numId w:val="0"/>
        </w:numPr>
        <w:jc w:val="center"/>
        <w:rPr>
          <w:rFonts w:ascii="Times New Roman" w:hAnsi="Times New Roman" w:cs="Times New Roman"/>
          <w:sz w:val="20"/>
          <w:szCs w:val="20"/>
        </w:rPr>
        <w:sectPr w:rsidR="00452C3D" w:rsidRPr="00F66630" w:rsidSect="000C1E23">
          <w:headerReference w:type="default" r:id="rId11"/>
          <w:footerReference w:type="default" r:id="rId12"/>
          <w:headerReference w:type="first" r:id="rId13"/>
          <w:footerReference w:type="first" r:id="rId14"/>
          <w:pgSz w:w="15840" w:h="12240" w:orient="landscape"/>
          <w:pgMar w:top="1134" w:right="1440" w:bottom="1440" w:left="1440" w:header="720" w:footer="720" w:gutter="0"/>
          <w:pgNumType w:chapStyle="1"/>
          <w:cols w:space="720"/>
          <w:titlePg/>
          <w:docGrid w:linePitch="360"/>
        </w:sectPr>
      </w:pPr>
    </w:p>
    <w:p w14:paraId="02031A07" w14:textId="637C31A9" w:rsidR="001478FD" w:rsidRPr="00F66630" w:rsidRDefault="00B54AAD" w:rsidP="0050360D">
      <w:pPr>
        <w:pStyle w:val="Minh"/>
        <w:numPr>
          <w:ilvl w:val="0"/>
          <w:numId w:val="45"/>
        </w:numPr>
        <w:spacing w:before="0"/>
        <w:jc w:val="left"/>
        <w:outlineLvl w:val="2"/>
        <w:rPr>
          <w:b/>
        </w:rPr>
      </w:pPr>
      <w:bookmarkStart w:id="4" w:name="_Toc107345839"/>
      <w:r w:rsidRPr="00F66630">
        <w:rPr>
          <w:b/>
        </w:rPr>
        <w:lastRenderedPageBreak/>
        <w:t xml:space="preserve">ORIGINAL </w:t>
      </w:r>
      <w:r w:rsidR="00DE3293" w:rsidRPr="00F66630">
        <w:rPr>
          <w:b/>
        </w:rPr>
        <w:t>Disbursement-Linked Indicator</w:t>
      </w:r>
      <w:r w:rsidR="00452A4F" w:rsidRPr="00F66630">
        <w:rPr>
          <w:b/>
        </w:rPr>
        <w:t>s</w:t>
      </w:r>
      <w:r w:rsidR="00A964A6" w:rsidRPr="00F66630">
        <w:rPr>
          <w:b/>
        </w:rPr>
        <w:t xml:space="preserve"> (DLI)</w:t>
      </w:r>
      <w:r w:rsidR="00DE3293" w:rsidRPr="00F66630">
        <w:rPr>
          <w:b/>
        </w:rPr>
        <w:t xml:space="preserve"> </w:t>
      </w:r>
      <w:bookmarkStart w:id="5" w:name="_Toc327359824"/>
      <w:r w:rsidR="00BE535C" w:rsidRPr="00F66630">
        <w:rPr>
          <w:b/>
        </w:rPr>
        <w:t>Matrix</w:t>
      </w:r>
      <w:bookmarkEnd w:id="4"/>
    </w:p>
    <w:p w14:paraId="25EEE12F" w14:textId="41801F5E" w:rsidR="005D672C" w:rsidRPr="00F66630" w:rsidRDefault="006A6E6D" w:rsidP="005D672C">
      <w:pPr>
        <w:pStyle w:val="Attachmenttitle"/>
        <w:spacing w:after="0"/>
        <w:ind w:left="86"/>
      </w:pPr>
      <w:bookmarkStart w:id="6" w:name="_Hlk514066385"/>
      <w:r w:rsidRPr="00F66630">
        <w:t xml:space="preserve">Table </w:t>
      </w:r>
      <w:r w:rsidR="00003922" w:rsidRPr="00F66630">
        <w:t>Note</w:t>
      </w:r>
      <w:r w:rsidR="005D672C" w:rsidRPr="00F66630">
        <w:t>s</w:t>
      </w:r>
      <w:r w:rsidR="00003922" w:rsidRPr="00F66630">
        <w:t xml:space="preserve">: </w:t>
      </w:r>
    </w:p>
    <w:p w14:paraId="0E42ACE9" w14:textId="4DECED19" w:rsidR="005A1975" w:rsidRPr="00F66630" w:rsidRDefault="006A6E6D" w:rsidP="005A1975">
      <w:pPr>
        <w:pStyle w:val="Attachmenttitle"/>
        <w:numPr>
          <w:ilvl w:val="0"/>
          <w:numId w:val="7"/>
        </w:numPr>
        <w:spacing w:after="0"/>
        <w:rPr>
          <w:b w:val="0"/>
        </w:rPr>
      </w:pPr>
      <w:r w:rsidRPr="00F66630">
        <w:rPr>
          <w:b w:val="0"/>
        </w:rPr>
        <w:t xml:space="preserve">Disbursement-linked results (DLRs) are </w:t>
      </w:r>
      <w:r w:rsidR="005A1975" w:rsidRPr="00F66630">
        <w:rPr>
          <w:b w:val="0"/>
        </w:rPr>
        <w:t>the specific results to be achieved in each Program under a DLI. States’ performance will be assessed during the annual performance assessment</w:t>
      </w:r>
      <w:r w:rsidR="00AE39F4" w:rsidRPr="00F66630">
        <w:rPr>
          <w:b w:val="0"/>
        </w:rPr>
        <w:t>s</w:t>
      </w:r>
      <w:r w:rsidR="005A1975" w:rsidRPr="00F66630">
        <w:rPr>
          <w:b w:val="0"/>
        </w:rPr>
        <w:t xml:space="preserve"> against the </w:t>
      </w:r>
      <w:proofErr w:type="spellStart"/>
      <w:r w:rsidR="005A1975" w:rsidRPr="00F66630">
        <w:rPr>
          <w:b w:val="0"/>
        </w:rPr>
        <w:t>DLRs.</w:t>
      </w:r>
      <w:proofErr w:type="spellEnd"/>
    </w:p>
    <w:p w14:paraId="030C57E6" w14:textId="1810E8EA" w:rsidR="00972A06" w:rsidRPr="00F66630" w:rsidRDefault="00972A06" w:rsidP="005A1975">
      <w:pPr>
        <w:pStyle w:val="Attachmenttitle"/>
        <w:numPr>
          <w:ilvl w:val="0"/>
          <w:numId w:val="7"/>
        </w:numPr>
        <w:spacing w:after="0"/>
        <w:rPr>
          <w:b w:val="0"/>
        </w:rPr>
      </w:pPr>
      <w:r w:rsidRPr="00F66630">
        <w:rPr>
          <w:b w:val="0"/>
        </w:rPr>
        <w:t>The DLR value shown in the DLI Matrix Table is</w:t>
      </w:r>
      <w:r w:rsidR="00022C94" w:rsidRPr="00F66630">
        <w:rPr>
          <w:b w:val="0"/>
        </w:rPr>
        <w:t xml:space="preserve"> </w:t>
      </w:r>
      <w:r w:rsidRPr="00F66630">
        <w:rPr>
          <w:b w:val="0"/>
        </w:rPr>
        <w:t>per year per state. This value is the amount of performance-based financing to be received by a state if a state is assessed as having achieved the DLR.</w:t>
      </w:r>
    </w:p>
    <w:p w14:paraId="2A116F13" w14:textId="1C4E0DA6" w:rsidR="005D672C" w:rsidRPr="00F66630" w:rsidRDefault="00003922" w:rsidP="009868A9">
      <w:pPr>
        <w:pStyle w:val="Attachmenttitle"/>
        <w:numPr>
          <w:ilvl w:val="0"/>
          <w:numId w:val="7"/>
        </w:numPr>
        <w:spacing w:after="0"/>
        <w:rPr>
          <w:b w:val="0"/>
        </w:rPr>
      </w:pPr>
      <w:r w:rsidRPr="00F66630">
        <w:rPr>
          <w:b w:val="0"/>
        </w:rPr>
        <w:t xml:space="preserve">DLIs </w:t>
      </w:r>
      <w:r w:rsidR="00972A06" w:rsidRPr="00F66630">
        <w:rPr>
          <w:b w:val="0"/>
        </w:rPr>
        <w:t xml:space="preserve">1, 2, 4, 5, 6 and 7 each </w:t>
      </w:r>
      <w:r w:rsidRPr="00F66630">
        <w:rPr>
          <w:b w:val="0"/>
        </w:rPr>
        <w:t>contain 2 DLRs</w:t>
      </w:r>
      <w:r w:rsidR="005D672C" w:rsidRPr="00F66630">
        <w:rPr>
          <w:b w:val="0"/>
        </w:rPr>
        <w:t xml:space="preserve"> </w:t>
      </w:r>
      <w:r w:rsidR="006A6E6D" w:rsidRPr="00F66630">
        <w:rPr>
          <w:b w:val="0"/>
        </w:rPr>
        <w:t xml:space="preserve">that </w:t>
      </w:r>
      <w:r w:rsidR="005D672C" w:rsidRPr="00F66630">
        <w:rPr>
          <w:b w:val="0"/>
        </w:rPr>
        <w:t xml:space="preserve">are </w:t>
      </w:r>
      <w:r w:rsidR="005A1975" w:rsidRPr="00F66630">
        <w:rPr>
          <w:b w:val="0"/>
        </w:rPr>
        <w:t xml:space="preserve">separately assessed and </w:t>
      </w:r>
      <w:r w:rsidR="005D672C" w:rsidRPr="00F66630">
        <w:rPr>
          <w:b w:val="0"/>
        </w:rPr>
        <w:t>valued</w:t>
      </w:r>
      <w:r w:rsidR="00972A06" w:rsidRPr="00F66630">
        <w:rPr>
          <w:b w:val="0"/>
        </w:rPr>
        <w:t xml:space="preserve">. These </w:t>
      </w:r>
      <w:r w:rsidR="006A6E6D" w:rsidRPr="00F66630">
        <w:rPr>
          <w:b w:val="0"/>
        </w:rPr>
        <w:t>are</w:t>
      </w:r>
      <w:r w:rsidR="005D672C" w:rsidRPr="00F66630">
        <w:rPr>
          <w:b w:val="0"/>
        </w:rPr>
        <w:t xml:space="preserve"> </w:t>
      </w:r>
      <w:r w:rsidRPr="00F66630">
        <w:rPr>
          <w:b w:val="0"/>
        </w:rPr>
        <w:t xml:space="preserve">indicated by the </w:t>
      </w:r>
      <w:r w:rsidR="005D672C" w:rsidRPr="00F66630">
        <w:rPr>
          <w:b w:val="0"/>
        </w:rPr>
        <w:t xml:space="preserve">sub-numbering, e.g., </w:t>
      </w:r>
      <w:r w:rsidRPr="00F66630">
        <w:rPr>
          <w:b w:val="0"/>
        </w:rPr>
        <w:t>1.1 and 1.2</w:t>
      </w:r>
      <w:r w:rsidR="005D672C" w:rsidRPr="00F66630">
        <w:rPr>
          <w:b w:val="0"/>
        </w:rPr>
        <w:t>; 2.1 and 2.2 etc.</w:t>
      </w:r>
      <w:r w:rsidR="006A6E6D" w:rsidRPr="00F66630">
        <w:rPr>
          <w:b w:val="0"/>
        </w:rPr>
        <w:t xml:space="preserve"> </w:t>
      </w:r>
      <w:r w:rsidR="005A1975" w:rsidRPr="00F66630">
        <w:rPr>
          <w:b w:val="0"/>
        </w:rPr>
        <w:t>Separately valued means that s</w:t>
      </w:r>
      <w:r w:rsidR="006A6E6D" w:rsidRPr="00F66630">
        <w:rPr>
          <w:b w:val="0"/>
        </w:rPr>
        <w:t xml:space="preserve">tates can receive the </w:t>
      </w:r>
      <w:r w:rsidR="00972A06" w:rsidRPr="00F66630">
        <w:rPr>
          <w:b w:val="0"/>
        </w:rPr>
        <w:t>performance-based financing</w:t>
      </w:r>
      <w:r w:rsidR="006A6E6D" w:rsidRPr="00F66630">
        <w:rPr>
          <w:b w:val="0"/>
        </w:rPr>
        <w:t xml:space="preserve"> </w:t>
      </w:r>
      <w:r w:rsidR="005A1975" w:rsidRPr="00F66630">
        <w:rPr>
          <w:b w:val="0"/>
        </w:rPr>
        <w:t xml:space="preserve">even </w:t>
      </w:r>
      <w:r w:rsidR="00972A06" w:rsidRPr="00F66630">
        <w:rPr>
          <w:b w:val="0"/>
        </w:rPr>
        <w:t>if they only achieve one of the two DLRs under the DLI.</w:t>
      </w:r>
    </w:p>
    <w:p w14:paraId="3D2DBE5E" w14:textId="524ACD1E" w:rsidR="00003922" w:rsidRPr="00F66630" w:rsidRDefault="005D672C" w:rsidP="009868A9">
      <w:pPr>
        <w:pStyle w:val="Attachmenttitle"/>
        <w:numPr>
          <w:ilvl w:val="0"/>
          <w:numId w:val="7"/>
        </w:numPr>
        <w:spacing w:after="0"/>
        <w:rPr>
          <w:b w:val="0"/>
        </w:rPr>
      </w:pPr>
      <w:r w:rsidRPr="00F66630">
        <w:rPr>
          <w:b w:val="0"/>
        </w:rPr>
        <w:t xml:space="preserve">DLRs </w:t>
      </w:r>
      <w:r w:rsidR="00972A06" w:rsidRPr="00F66630">
        <w:rPr>
          <w:b w:val="0"/>
        </w:rPr>
        <w:t xml:space="preserve">which </w:t>
      </w:r>
      <w:r w:rsidRPr="00F66630">
        <w:rPr>
          <w:b w:val="0"/>
        </w:rPr>
        <w:t xml:space="preserve">have distinct but related components that </w:t>
      </w:r>
      <w:r w:rsidR="001B359E" w:rsidRPr="00F66630">
        <w:rPr>
          <w:b w:val="0"/>
        </w:rPr>
        <w:t>must</w:t>
      </w:r>
      <w:r w:rsidRPr="00F66630">
        <w:rPr>
          <w:b w:val="0"/>
        </w:rPr>
        <w:t xml:space="preserve"> be all achieved </w:t>
      </w:r>
      <w:proofErr w:type="gramStart"/>
      <w:r w:rsidRPr="00F66630">
        <w:rPr>
          <w:b w:val="0"/>
        </w:rPr>
        <w:t>in order to</w:t>
      </w:r>
      <w:proofErr w:type="gramEnd"/>
      <w:r w:rsidRPr="00F66630">
        <w:rPr>
          <w:b w:val="0"/>
        </w:rPr>
        <w:t xml:space="preserve"> receive financing are indicated by the use of ‘AND’</w:t>
      </w:r>
      <w:r w:rsidR="00972A06" w:rsidRPr="00F66630">
        <w:rPr>
          <w:b w:val="0"/>
        </w:rPr>
        <w:t xml:space="preserve"> in the description</w:t>
      </w:r>
    </w:p>
    <w:p w14:paraId="11138B63" w14:textId="71EBF2A3" w:rsidR="005D672C" w:rsidRPr="00F66630" w:rsidRDefault="00617CB4" w:rsidP="009868A9">
      <w:pPr>
        <w:pStyle w:val="Attachmenttitle"/>
        <w:numPr>
          <w:ilvl w:val="0"/>
          <w:numId w:val="7"/>
        </w:numPr>
        <w:spacing w:after="0"/>
        <w:rPr>
          <w:b w:val="0"/>
        </w:rPr>
      </w:pPr>
      <w:r w:rsidRPr="00F66630">
        <w:rPr>
          <w:b w:val="0"/>
        </w:rPr>
        <w:t>Some DLRs</w:t>
      </w:r>
      <w:r w:rsidR="00972A06" w:rsidRPr="00F66630">
        <w:rPr>
          <w:b w:val="0"/>
        </w:rPr>
        <w:t xml:space="preserve"> </w:t>
      </w:r>
      <w:r w:rsidR="005D672C" w:rsidRPr="00F66630">
        <w:rPr>
          <w:b w:val="0"/>
        </w:rPr>
        <w:t xml:space="preserve">have a basic target with a lower </w:t>
      </w:r>
      <w:r w:rsidR="00972A06" w:rsidRPr="00F66630">
        <w:rPr>
          <w:b w:val="0"/>
        </w:rPr>
        <w:t>financing value</w:t>
      </w:r>
      <w:r w:rsidR="005D672C" w:rsidRPr="00F66630">
        <w:rPr>
          <w:b w:val="0"/>
        </w:rPr>
        <w:t xml:space="preserve"> and a stretch target with a higher </w:t>
      </w:r>
      <w:r w:rsidR="00972A06" w:rsidRPr="00F66630">
        <w:rPr>
          <w:b w:val="0"/>
        </w:rPr>
        <w:t>financing value attached to it</w:t>
      </w:r>
      <w:r w:rsidR="005D672C" w:rsidRPr="00F66630">
        <w:rPr>
          <w:b w:val="0"/>
        </w:rPr>
        <w:t>. States need to at least achieve the basic target</w:t>
      </w:r>
      <w:r w:rsidR="00972A06" w:rsidRPr="00F66630">
        <w:rPr>
          <w:b w:val="0"/>
        </w:rPr>
        <w:t xml:space="preserve"> to receive performance-based financing</w:t>
      </w:r>
      <w:r w:rsidR="005D672C" w:rsidRPr="00F66630">
        <w:rPr>
          <w:b w:val="0"/>
        </w:rPr>
        <w:t>.</w:t>
      </w:r>
      <w:r w:rsidRPr="00F66630">
        <w:rPr>
          <w:b w:val="0"/>
        </w:rPr>
        <w:t xml:space="preserve"> States </w:t>
      </w:r>
      <w:r w:rsidR="001F51C2" w:rsidRPr="00F66630">
        <w:rPr>
          <w:b w:val="0"/>
        </w:rPr>
        <w:t>achieving the stretch target will receive the value of the stretch target only (not basic plus stretch).</w:t>
      </w:r>
    </w:p>
    <w:p w14:paraId="06B03333" w14:textId="0AECBE38" w:rsidR="00972A06" w:rsidRPr="00F66630" w:rsidRDefault="00972A06" w:rsidP="00972A06">
      <w:pPr>
        <w:pStyle w:val="Attachmenttitle"/>
        <w:spacing w:after="0"/>
        <w:rPr>
          <w:b w:val="0"/>
        </w:rPr>
      </w:pPr>
    </w:p>
    <w:bookmarkEnd w:id="6"/>
    <w:p w14:paraId="5ADBF3E3" w14:textId="77777777" w:rsidR="00726FA7" w:rsidRPr="00F66630" w:rsidRDefault="00B54AAD" w:rsidP="00726FA7">
      <w:pPr>
        <w:pStyle w:val="Minh"/>
        <w:numPr>
          <w:ilvl w:val="0"/>
          <w:numId w:val="0"/>
        </w:numPr>
        <w:spacing w:before="0" w:after="0"/>
        <w:jc w:val="center"/>
        <w:rPr>
          <w:b/>
        </w:rPr>
      </w:pPr>
      <w:r w:rsidRPr="00F66630">
        <w:rPr>
          <w:b/>
        </w:rPr>
        <w:t xml:space="preserve">Original </w:t>
      </w:r>
      <w:r w:rsidR="00452A4F" w:rsidRPr="00F66630">
        <w:rPr>
          <w:b/>
        </w:rPr>
        <w:t xml:space="preserve">Disbursement-Linked Indicator (DLI) Matrix </w:t>
      </w:r>
    </w:p>
    <w:p w14:paraId="7DAAA210" w14:textId="390D411C" w:rsidR="00452A4F" w:rsidRPr="00F66630" w:rsidRDefault="00452A4F" w:rsidP="00726FA7">
      <w:pPr>
        <w:pStyle w:val="Minh"/>
        <w:numPr>
          <w:ilvl w:val="0"/>
          <w:numId w:val="0"/>
        </w:numPr>
        <w:spacing w:before="0" w:after="0"/>
        <w:jc w:val="center"/>
        <w:rPr>
          <w:b/>
        </w:rPr>
      </w:pPr>
    </w:p>
    <w:tbl>
      <w:tblPr>
        <w:tblStyle w:val="TableGrid"/>
        <w:tblW w:w="5000" w:type="pct"/>
        <w:tblLook w:val="04A0" w:firstRow="1" w:lastRow="0" w:firstColumn="1" w:lastColumn="0" w:noHBand="0" w:noVBand="1"/>
      </w:tblPr>
      <w:tblGrid>
        <w:gridCol w:w="2243"/>
        <w:gridCol w:w="2678"/>
        <w:gridCol w:w="2678"/>
        <w:gridCol w:w="2681"/>
        <w:gridCol w:w="2670"/>
      </w:tblGrid>
      <w:tr w:rsidR="006A6E6D" w:rsidRPr="00F66630" w14:paraId="0424CC41" w14:textId="77777777" w:rsidTr="00452A4F">
        <w:trPr>
          <w:trHeight w:val="269"/>
          <w:tblHeader/>
        </w:trPr>
        <w:tc>
          <w:tcPr>
            <w:tcW w:w="866" w:type="pct"/>
            <w:vMerge w:val="restart"/>
            <w:shd w:val="clear" w:color="auto" w:fill="FDE9D9" w:themeFill="accent6" w:themeFillTint="33"/>
          </w:tcPr>
          <w:p w14:paraId="136C0E3C" w14:textId="00BE0866" w:rsidR="006A6E6D" w:rsidRPr="00F66630" w:rsidRDefault="006A6E6D" w:rsidP="006A6E6D">
            <w:pPr>
              <w:rPr>
                <w:rFonts w:ascii="Times New Roman" w:hAnsi="Times New Roman" w:cs="Times New Roman"/>
                <w:b/>
                <w:sz w:val="24"/>
                <w:szCs w:val="24"/>
                <w:lang w:val="fr-FR"/>
              </w:rPr>
            </w:pPr>
            <w:bookmarkStart w:id="7" w:name="_Hlk514067054"/>
            <w:r w:rsidRPr="00F66630">
              <w:rPr>
                <w:rFonts w:ascii="Times New Roman" w:hAnsi="Times New Roman" w:cs="Times New Roman"/>
                <w:b/>
                <w:sz w:val="24"/>
                <w:szCs w:val="24"/>
              </w:rPr>
              <w:t>Disbursement-Linked Indicator</w:t>
            </w:r>
            <w:r w:rsidRPr="00F66630">
              <w:rPr>
                <w:rFonts w:ascii="Times New Roman" w:hAnsi="Times New Roman" w:cs="Times New Roman"/>
                <w:b/>
                <w:sz w:val="24"/>
                <w:szCs w:val="24"/>
                <w:lang w:val="fr-FR"/>
              </w:rPr>
              <w:t xml:space="preserve"> </w:t>
            </w:r>
          </w:p>
        </w:tc>
        <w:tc>
          <w:tcPr>
            <w:tcW w:w="4134" w:type="pct"/>
            <w:gridSpan w:val="4"/>
            <w:shd w:val="clear" w:color="auto" w:fill="FDE9D9" w:themeFill="accent6" w:themeFillTint="33"/>
          </w:tcPr>
          <w:p w14:paraId="2F12ED42" w14:textId="48139822" w:rsidR="006A6E6D" w:rsidRPr="00F66630" w:rsidRDefault="006A6E6D" w:rsidP="00832905">
            <w:pPr>
              <w:jc w:val="center"/>
              <w:rPr>
                <w:rFonts w:ascii="Times New Roman" w:hAnsi="Times New Roman" w:cs="Times New Roman"/>
                <w:b/>
                <w:sz w:val="24"/>
                <w:szCs w:val="24"/>
              </w:rPr>
            </w:pPr>
            <w:r w:rsidRPr="00F66630">
              <w:rPr>
                <w:rFonts w:ascii="Times New Roman" w:hAnsi="Times New Roman" w:cs="Times New Roman"/>
                <w:b/>
                <w:sz w:val="24"/>
                <w:szCs w:val="24"/>
              </w:rPr>
              <w:t>Disbursement-Linked Results</w:t>
            </w:r>
          </w:p>
        </w:tc>
      </w:tr>
      <w:tr w:rsidR="006A6E6D" w:rsidRPr="00F66630" w14:paraId="0C2E0A57" w14:textId="77777777" w:rsidTr="00452A4F">
        <w:trPr>
          <w:trHeight w:val="323"/>
          <w:tblHeader/>
        </w:trPr>
        <w:tc>
          <w:tcPr>
            <w:tcW w:w="866" w:type="pct"/>
            <w:vMerge/>
            <w:shd w:val="clear" w:color="auto" w:fill="FDE9D9" w:themeFill="accent6" w:themeFillTint="33"/>
          </w:tcPr>
          <w:p w14:paraId="12BC93D6" w14:textId="77777777" w:rsidR="006A6E6D" w:rsidRPr="00F66630" w:rsidRDefault="006A6E6D" w:rsidP="00832905">
            <w:pPr>
              <w:rPr>
                <w:rFonts w:ascii="Times New Roman" w:hAnsi="Times New Roman" w:cs="Times New Roman"/>
                <w:b/>
                <w:sz w:val="24"/>
                <w:szCs w:val="24"/>
              </w:rPr>
            </w:pPr>
          </w:p>
        </w:tc>
        <w:tc>
          <w:tcPr>
            <w:tcW w:w="1034" w:type="pct"/>
            <w:shd w:val="clear" w:color="auto" w:fill="FDE9D9" w:themeFill="accent6" w:themeFillTint="33"/>
          </w:tcPr>
          <w:p w14:paraId="5E1CFCE0" w14:textId="14966932" w:rsidR="006A6E6D" w:rsidRPr="00F66630" w:rsidRDefault="006A6E6D" w:rsidP="00A964A6">
            <w:pPr>
              <w:jc w:val="center"/>
              <w:rPr>
                <w:rFonts w:ascii="Times New Roman" w:hAnsi="Times New Roman" w:cs="Times New Roman"/>
                <w:b/>
                <w:sz w:val="24"/>
                <w:szCs w:val="24"/>
              </w:rPr>
            </w:pPr>
            <w:r w:rsidRPr="00F66630">
              <w:rPr>
                <w:rFonts w:ascii="Times New Roman" w:hAnsi="Times New Roman" w:cs="Times New Roman"/>
                <w:b/>
                <w:sz w:val="24"/>
                <w:szCs w:val="24"/>
              </w:rPr>
              <w:t>Year 1 - 2018</w:t>
            </w:r>
          </w:p>
        </w:tc>
        <w:tc>
          <w:tcPr>
            <w:tcW w:w="1034" w:type="pct"/>
            <w:shd w:val="clear" w:color="auto" w:fill="FDE9D9" w:themeFill="accent6" w:themeFillTint="33"/>
          </w:tcPr>
          <w:p w14:paraId="30F4A460" w14:textId="15D11FD0" w:rsidR="006A6E6D" w:rsidRPr="00F66630" w:rsidRDefault="006A6E6D" w:rsidP="00A964A6">
            <w:pPr>
              <w:jc w:val="center"/>
              <w:rPr>
                <w:rFonts w:ascii="Times New Roman" w:hAnsi="Times New Roman" w:cs="Times New Roman"/>
                <w:b/>
                <w:i/>
                <w:sz w:val="24"/>
                <w:szCs w:val="24"/>
              </w:rPr>
            </w:pPr>
            <w:r w:rsidRPr="00F66630">
              <w:rPr>
                <w:rFonts w:ascii="Times New Roman" w:hAnsi="Times New Roman" w:cs="Times New Roman"/>
                <w:b/>
                <w:i/>
                <w:sz w:val="24"/>
                <w:szCs w:val="24"/>
              </w:rPr>
              <w:t>Year 2 – 2019</w:t>
            </w:r>
          </w:p>
        </w:tc>
        <w:tc>
          <w:tcPr>
            <w:tcW w:w="1035" w:type="pct"/>
            <w:shd w:val="clear" w:color="auto" w:fill="FDE9D9" w:themeFill="accent6" w:themeFillTint="33"/>
          </w:tcPr>
          <w:p w14:paraId="6377C3B1" w14:textId="2CACDB25" w:rsidR="006A6E6D" w:rsidRPr="00F66630" w:rsidRDefault="006A6E6D" w:rsidP="00A964A6">
            <w:pPr>
              <w:jc w:val="center"/>
              <w:rPr>
                <w:rFonts w:ascii="Times New Roman" w:hAnsi="Times New Roman" w:cs="Times New Roman"/>
                <w:b/>
                <w:i/>
                <w:sz w:val="24"/>
                <w:szCs w:val="24"/>
              </w:rPr>
            </w:pPr>
            <w:r w:rsidRPr="00F66630">
              <w:rPr>
                <w:rFonts w:ascii="Times New Roman" w:hAnsi="Times New Roman" w:cs="Times New Roman"/>
                <w:b/>
                <w:i/>
                <w:sz w:val="24"/>
                <w:szCs w:val="24"/>
              </w:rPr>
              <w:t>Year 3 – 2020</w:t>
            </w:r>
          </w:p>
        </w:tc>
        <w:tc>
          <w:tcPr>
            <w:tcW w:w="1031" w:type="pct"/>
            <w:shd w:val="clear" w:color="auto" w:fill="FDE9D9" w:themeFill="accent6" w:themeFillTint="33"/>
          </w:tcPr>
          <w:p w14:paraId="5445933A" w14:textId="75FB11ED" w:rsidR="006A6E6D" w:rsidRPr="00F66630" w:rsidRDefault="006A6E6D" w:rsidP="00A964A6">
            <w:pPr>
              <w:jc w:val="center"/>
              <w:rPr>
                <w:rFonts w:ascii="Times New Roman" w:hAnsi="Times New Roman" w:cs="Times New Roman"/>
                <w:b/>
                <w:i/>
                <w:sz w:val="24"/>
                <w:szCs w:val="24"/>
              </w:rPr>
            </w:pPr>
            <w:r w:rsidRPr="00F66630">
              <w:rPr>
                <w:rFonts w:ascii="Times New Roman" w:hAnsi="Times New Roman" w:cs="Times New Roman"/>
                <w:b/>
                <w:i/>
                <w:sz w:val="24"/>
                <w:szCs w:val="24"/>
              </w:rPr>
              <w:t>Year 4 – 2021</w:t>
            </w:r>
          </w:p>
        </w:tc>
      </w:tr>
      <w:tr w:rsidR="006A6E6D" w:rsidRPr="00F66630" w:rsidDel="00B13515" w14:paraId="2AF24577" w14:textId="77777777" w:rsidTr="00452A4F">
        <w:trPr>
          <w:trHeight w:val="620"/>
        </w:trPr>
        <w:tc>
          <w:tcPr>
            <w:tcW w:w="866" w:type="pct"/>
          </w:tcPr>
          <w:p w14:paraId="5D4F5F28" w14:textId="77777777" w:rsidR="006A6E6D" w:rsidRPr="00F66630" w:rsidRDefault="006A6E6D" w:rsidP="00832905">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t>DLI 1: Improved financial reporting and budget reliability</w:t>
            </w:r>
          </w:p>
          <w:p w14:paraId="49025A2C" w14:textId="77777777" w:rsidR="006A6E6D" w:rsidRPr="00F66630" w:rsidRDefault="006A6E6D" w:rsidP="00832905">
            <w:pPr>
              <w:rPr>
                <w:rFonts w:ascii="Times New Roman" w:hAnsi="Times New Roman" w:cs="Times New Roman"/>
                <w:sz w:val="24"/>
                <w:szCs w:val="24"/>
              </w:rPr>
            </w:pPr>
          </w:p>
          <w:p w14:paraId="7A4A1F40" w14:textId="77777777" w:rsidR="006A6E6D" w:rsidRPr="00F66630" w:rsidRDefault="006A6E6D" w:rsidP="00832905">
            <w:pPr>
              <w:rPr>
                <w:rFonts w:ascii="Times New Roman" w:hAnsi="Times New Roman" w:cs="Times New Roman"/>
                <w:sz w:val="24"/>
                <w:szCs w:val="24"/>
              </w:rPr>
            </w:pPr>
          </w:p>
          <w:p w14:paraId="089DCF37" w14:textId="77777777" w:rsidR="006A6E6D" w:rsidRPr="00F66630" w:rsidRDefault="006A6E6D" w:rsidP="00832905">
            <w:pPr>
              <w:jc w:val="right"/>
              <w:rPr>
                <w:rFonts w:ascii="Times New Roman" w:hAnsi="Times New Roman" w:cs="Times New Roman"/>
                <w:sz w:val="24"/>
                <w:szCs w:val="24"/>
              </w:rPr>
            </w:pPr>
          </w:p>
        </w:tc>
        <w:tc>
          <w:tcPr>
            <w:tcW w:w="1034" w:type="pct"/>
          </w:tcPr>
          <w:p w14:paraId="35A67241" w14:textId="77777777"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 xml:space="preserve">1.1 FY18 quarterly budget implementation reports published on average within 6 weeks of quarter-end to enable timely budget management                </w:t>
            </w:r>
          </w:p>
          <w:p w14:paraId="4D7A05CC" w14:textId="77777777"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1.2 FY18 deviation for total budget expenditure is &lt; 30%</w:t>
            </w:r>
          </w:p>
        </w:tc>
        <w:tc>
          <w:tcPr>
            <w:tcW w:w="1034" w:type="pct"/>
          </w:tcPr>
          <w:p w14:paraId="5D3D494F" w14:textId="77777777"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1.1 FY19 quarterly budget implementation reports published on average within 6 weeks of quarter end to enable timely budget management</w:t>
            </w:r>
          </w:p>
          <w:p w14:paraId="1332529D" w14:textId="77777777"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1.2 FY19 deviation for total budget expenditure is &lt; 25%</w:t>
            </w:r>
          </w:p>
        </w:tc>
        <w:tc>
          <w:tcPr>
            <w:tcW w:w="1035" w:type="pct"/>
          </w:tcPr>
          <w:p w14:paraId="0C980EA1" w14:textId="4C4A5B3B"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 xml:space="preserve">1.1 FY20 quarterly budget implementation reports published </w:t>
            </w:r>
            <w:r w:rsidR="00442E33" w:rsidRPr="00F66630">
              <w:rPr>
                <w:rFonts w:ascii="Times New Roman" w:hAnsi="Times New Roman" w:cs="Times New Roman"/>
                <w:sz w:val="24"/>
                <w:szCs w:val="24"/>
              </w:rPr>
              <w:t xml:space="preserve">with Q2, Q3 and Q4 reports published </w:t>
            </w:r>
            <w:r w:rsidRPr="00F66630">
              <w:rPr>
                <w:rFonts w:ascii="Times New Roman" w:hAnsi="Times New Roman" w:cs="Times New Roman"/>
                <w:sz w:val="24"/>
                <w:szCs w:val="24"/>
              </w:rPr>
              <w:t>on average within 4 weeks of quarter end to enable timely budget management</w:t>
            </w:r>
          </w:p>
          <w:p w14:paraId="4075F5CE" w14:textId="07851B3D"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 xml:space="preserve">1.2 FY20 deviation for total </w:t>
            </w:r>
            <w:r w:rsidR="00B362BD" w:rsidRPr="00F66630">
              <w:rPr>
                <w:rFonts w:ascii="Times New Roman" w:hAnsi="Times New Roman" w:cs="Times New Roman"/>
                <w:sz w:val="24"/>
                <w:szCs w:val="24"/>
              </w:rPr>
              <w:t>A</w:t>
            </w:r>
            <w:r w:rsidR="006414D6" w:rsidRPr="00F66630">
              <w:rPr>
                <w:rFonts w:ascii="Times New Roman" w:hAnsi="Times New Roman" w:cs="Times New Roman"/>
                <w:sz w:val="24"/>
                <w:szCs w:val="24"/>
              </w:rPr>
              <w:t xml:space="preserve">mended </w:t>
            </w:r>
            <w:r w:rsidRPr="00F66630">
              <w:rPr>
                <w:rFonts w:ascii="Times New Roman" w:hAnsi="Times New Roman" w:cs="Times New Roman"/>
                <w:sz w:val="24"/>
                <w:szCs w:val="24"/>
              </w:rPr>
              <w:t xml:space="preserve">budget expenditure is &lt; </w:t>
            </w:r>
            <w:r w:rsidR="00631F1C" w:rsidRPr="00F66630">
              <w:rPr>
                <w:rFonts w:ascii="Times New Roman" w:hAnsi="Times New Roman" w:cs="Times New Roman"/>
                <w:sz w:val="24"/>
                <w:szCs w:val="24"/>
              </w:rPr>
              <w:t>15</w:t>
            </w:r>
            <w:r w:rsidRPr="00F66630">
              <w:rPr>
                <w:rFonts w:ascii="Times New Roman" w:hAnsi="Times New Roman" w:cs="Times New Roman"/>
                <w:sz w:val="24"/>
                <w:szCs w:val="24"/>
              </w:rPr>
              <w:t>%</w:t>
            </w:r>
          </w:p>
        </w:tc>
        <w:tc>
          <w:tcPr>
            <w:tcW w:w="1031" w:type="pct"/>
          </w:tcPr>
          <w:p w14:paraId="0863A5F9" w14:textId="1401BA77" w:rsidR="006A6E6D" w:rsidRPr="00F66630"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1.1 FY21 quarterly budget implementation reports published on average within 4 weeks of quarter end to enable timely budget management</w:t>
            </w:r>
          </w:p>
          <w:p w14:paraId="71E2F588" w14:textId="56FAEB53" w:rsidR="006A6E6D" w:rsidRPr="00F66630" w:rsidDel="00B13515" w:rsidRDefault="006A6E6D" w:rsidP="00832905">
            <w:pPr>
              <w:spacing w:after="120"/>
              <w:rPr>
                <w:rFonts w:ascii="Times New Roman" w:hAnsi="Times New Roman" w:cs="Times New Roman"/>
                <w:sz w:val="24"/>
                <w:szCs w:val="24"/>
              </w:rPr>
            </w:pPr>
            <w:r w:rsidRPr="00F66630">
              <w:rPr>
                <w:rFonts w:ascii="Times New Roman" w:hAnsi="Times New Roman" w:cs="Times New Roman"/>
                <w:sz w:val="24"/>
                <w:szCs w:val="24"/>
              </w:rPr>
              <w:t>1.2 FY21 deviation for total budget expenditure is &lt; 15%</w:t>
            </w:r>
          </w:p>
        </w:tc>
      </w:tr>
      <w:tr w:rsidR="00022C94" w:rsidRPr="00F66630" w14:paraId="2ABAE571" w14:textId="77777777" w:rsidTr="00372D1B">
        <w:trPr>
          <w:trHeight w:val="251"/>
        </w:trPr>
        <w:tc>
          <w:tcPr>
            <w:tcW w:w="866" w:type="pct"/>
            <w:shd w:val="clear" w:color="auto" w:fill="FFFFFF" w:themeFill="background1"/>
            <w:vAlign w:val="center"/>
          </w:tcPr>
          <w:p w14:paraId="5B9A01C0" w14:textId="2C5DE50D"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1.1 value</w:t>
            </w:r>
          </w:p>
        </w:tc>
        <w:tc>
          <w:tcPr>
            <w:tcW w:w="1034" w:type="pct"/>
            <w:shd w:val="clear" w:color="auto" w:fill="FFFFFF" w:themeFill="background1"/>
          </w:tcPr>
          <w:p w14:paraId="17283D56" w14:textId="57D95BDA"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c>
          <w:tcPr>
            <w:tcW w:w="1034" w:type="pct"/>
            <w:shd w:val="clear" w:color="auto" w:fill="FFFFFF" w:themeFill="background1"/>
          </w:tcPr>
          <w:p w14:paraId="7DC5C9D4" w14:textId="148E7F0A"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c>
          <w:tcPr>
            <w:tcW w:w="1035" w:type="pct"/>
            <w:shd w:val="clear" w:color="auto" w:fill="FFFFFF" w:themeFill="background1"/>
          </w:tcPr>
          <w:p w14:paraId="27DCD60F" w14:textId="2225B0B8"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c>
          <w:tcPr>
            <w:tcW w:w="1031" w:type="pct"/>
            <w:shd w:val="clear" w:color="auto" w:fill="FFFFFF" w:themeFill="background1"/>
          </w:tcPr>
          <w:p w14:paraId="5E0CC3A8" w14:textId="07811E10"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r>
      <w:tr w:rsidR="00022C94" w:rsidRPr="00F66630" w14:paraId="3BA5BE94" w14:textId="77777777" w:rsidTr="00372D1B">
        <w:trPr>
          <w:trHeight w:val="332"/>
        </w:trPr>
        <w:tc>
          <w:tcPr>
            <w:tcW w:w="866" w:type="pct"/>
            <w:shd w:val="clear" w:color="auto" w:fill="FFFFFF" w:themeFill="background1"/>
            <w:vAlign w:val="center"/>
          </w:tcPr>
          <w:p w14:paraId="5F00D89F" w14:textId="10453E9B"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1.2 value</w:t>
            </w:r>
          </w:p>
        </w:tc>
        <w:tc>
          <w:tcPr>
            <w:tcW w:w="1034" w:type="pct"/>
            <w:shd w:val="clear" w:color="auto" w:fill="FFFFFF" w:themeFill="background1"/>
          </w:tcPr>
          <w:p w14:paraId="24358602" w14:textId="6E3C2EAF"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4" w:type="pct"/>
            <w:shd w:val="clear" w:color="auto" w:fill="FFFFFF" w:themeFill="background1"/>
          </w:tcPr>
          <w:p w14:paraId="3462B2A0" w14:textId="159B33B3"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5" w:type="pct"/>
            <w:shd w:val="clear" w:color="auto" w:fill="FFFFFF" w:themeFill="background1"/>
          </w:tcPr>
          <w:p w14:paraId="496B6AEF" w14:textId="6F68F974"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1" w:type="pct"/>
            <w:shd w:val="clear" w:color="auto" w:fill="FFFFFF" w:themeFill="background1"/>
          </w:tcPr>
          <w:p w14:paraId="38F21F40" w14:textId="3799E099"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r>
      <w:tr w:rsidR="006A6E6D" w:rsidRPr="00F66630" w14:paraId="6A8AA326" w14:textId="77777777" w:rsidTr="00452A4F">
        <w:trPr>
          <w:trHeight w:val="458"/>
        </w:trPr>
        <w:tc>
          <w:tcPr>
            <w:tcW w:w="866" w:type="pct"/>
            <w:shd w:val="clear" w:color="auto" w:fill="F2F2F2" w:themeFill="background1" w:themeFillShade="F2"/>
          </w:tcPr>
          <w:p w14:paraId="608D15EC" w14:textId="77777777" w:rsidR="006A6E6D" w:rsidRPr="00F66630" w:rsidRDefault="006A6E6D" w:rsidP="00832905">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lastRenderedPageBreak/>
              <w:t>DLI 2 Increased openness and citizens’ engagement in the budget process</w:t>
            </w:r>
          </w:p>
        </w:tc>
        <w:tc>
          <w:tcPr>
            <w:tcW w:w="1034" w:type="pct"/>
            <w:shd w:val="clear" w:color="auto" w:fill="F2F2F2" w:themeFill="background1" w:themeFillShade="F2"/>
          </w:tcPr>
          <w:p w14:paraId="1C932934" w14:textId="77777777"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2.1 Citizens’ inputs from formal public consultations are published online, along with the proposed FY19 budget</w:t>
            </w:r>
          </w:p>
          <w:p w14:paraId="54A0641D" w14:textId="77777777" w:rsidR="006A6E6D" w:rsidRPr="00F66630" w:rsidRDefault="006A6E6D" w:rsidP="00832905">
            <w:pPr>
              <w:spacing w:after="120"/>
              <w:rPr>
                <w:rFonts w:ascii="Times New Roman" w:hAnsi="Times New Roman" w:cs="Times New Roman"/>
                <w:sz w:val="23"/>
                <w:szCs w:val="23"/>
              </w:rPr>
            </w:pPr>
          </w:p>
        </w:tc>
        <w:tc>
          <w:tcPr>
            <w:tcW w:w="1034" w:type="pct"/>
            <w:shd w:val="clear" w:color="auto" w:fill="F2F2F2" w:themeFill="background1" w:themeFillShade="F2"/>
          </w:tcPr>
          <w:p w14:paraId="282D9D87" w14:textId="77777777"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2.1 Citizens’ inputs from formal public consultations are published online, along with the proposed FY20 budget</w:t>
            </w:r>
          </w:p>
          <w:p w14:paraId="79011A95" w14:textId="7E30511B"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2.2 Citizens’ budget based on approved FY19 state budget published online by end April 2019</w:t>
            </w:r>
          </w:p>
          <w:p w14:paraId="3A65BE77" w14:textId="77777777" w:rsidR="006A6E6D" w:rsidRPr="00F66630" w:rsidRDefault="006A6E6D" w:rsidP="00832905">
            <w:pPr>
              <w:spacing w:after="120"/>
              <w:rPr>
                <w:rFonts w:ascii="Times New Roman" w:hAnsi="Times New Roman" w:cs="Times New Roman"/>
                <w:sz w:val="23"/>
                <w:szCs w:val="23"/>
              </w:rPr>
            </w:pPr>
          </w:p>
        </w:tc>
        <w:tc>
          <w:tcPr>
            <w:tcW w:w="1035" w:type="pct"/>
            <w:shd w:val="clear" w:color="auto" w:fill="F2F2F2" w:themeFill="background1" w:themeFillShade="F2"/>
          </w:tcPr>
          <w:p w14:paraId="6C48AA47" w14:textId="77777777"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 xml:space="preserve">2.1 Citizens’ inputs from formal public consultations are published online, along with the proposed FY21 budget </w:t>
            </w:r>
          </w:p>
          <w:p w14:paraId="736B71E6" w14:textId="3C5C773B"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 xml:space="preserve">2.2 </w:t>
            </w:r>
            <w:r w:rsidR="00916166" w:rsidRPr="00F66630">
              <w:rPr>
                <w:rFonts w:ascii="Times New Roman" w:hAnsi="Times New Roman" w:cs="Times New Roman"/>
                <w:sz w:val="23"/>
                <w:szCs w:val="23"/>
              </w:rPr>
              <w:t xml:space="preserve">Evidence of dissemination event to explain amendments to FY2020 State budget published </w:t>
            </w:r>
            <w:r w:rsidR="003854EF" w:rsidRPr="00F66630">
              <w:rPr>
                <w:rFonts w:ascii="Times New Roman" w:hAnsi="Times New Roman" w:cs="Times New Roman"/>
                <w:sz w:val="23"/>
                <w:szCs w:val="23"/>
              </w:rPr>
              <w:t xml:space="preserve">online </w:t>
            </w:r>
            <w:r w:rsidR="00916166" w:rsidRPr="00F66630">
              <w:rPr>
                <w:rFonts w:ascii="Times New Roman" w:hAnsi="Times New Roman" w:cs="Times New Roman"/>
                <w:sz w:val="23"/>
                <w:szCs w:val="23"/>
              </w:rPr>
              <w:t xml:space="preserve">along with the </w:t>
            </w:r>
            <w:r w:rsidR="004010D2" w:rsidRPr="00F66630">
              <w:rPr>
                <w:rFonts w:ascii="Times New Roman" w:hAnsi="Times New Roman" w:cs="Times New Roman"/>
                <w:sz w:val="23"/>
                <w:szCs w:val="23"/>
              </w:rPr>
              <w:t xml:space="preserve">Citizens’ budget based on </w:t>
            </w:r>
            <w:r w:rsidR="000243CD" w:rsidRPr="00F66630">
              <w:rPr>
                <w:rFonts w:ascii="Times New Roman" w:hAnsi="Times New Roman" w:cs="Times New Roman"/>
                <w:sz w:val="23"/>
                <w:szCs w:val="23"/>
              </w:rPr>
              <w:t>A</w:t>
            </w:r>
            <w:r w:rsidR="004010D2" w:rsidRPr="00F66630">
              <w:rPr>
                <w:rFonts w:ascii="Times New Roman" w:hAnsi="Times New Roman" w:cs="Times New Roman"/>
                <w:sz w:val="23"/>
                <w:szCs w:val="23"/>
              </w:rPr>
              <w:t xml:space="preserve">mended FY2020 </w:t>
            </w:r>
            <w:r w:rsidR="000243CD" w:rsidRPr="00F66630">
              <w:rPr>
                <w:rFonts w:ascii="Times New Roman" w:hAnsi="Times New Roman" w:cs="Times New Roman"/>
                <w:sz w:val="23"/>
                <w:szCs w:val="23"/>
              </w:rPr>
              <w:t>S</w:t>
            </w:r>
            <w:r w:rsidR="004010D2" w:rsidRPr="00F66630">
              <w:rPr>
                <w:rFonts w:ascii="Times New Roman" w:hAnsi="Times New Roman" w:cs="Times New Roman"/>
                <w:sz w:val="23"/>
                <w:szCs w:val="23"/>
              </w:rPr>
              <w:t>tate budget by end September 2020 with functional online feedback mechanisms</w:t>
            </w:r>
          </w:p>
        </w:tc>
        <w:tc>
          <w:tcPr>
            <w:tcW w:w="1031" w:type="pct"/>
            <w:shd w:val="clear" w:color="auto" w:fill="F2F2F2" w:themeFill="background1" w:themeFillShade="F2"/>
          </w:tcPr>
          <w:p w14:paraId="7BFD777E" w14:textId="77777777"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 xml:space="preserve">2.1 Citizens’ inputs from formal public consultations are published online, along with the proposed FY22 budget </w:t>
            </w:r>
          </w:p>
          <w:p w14:paraId="45DE0F30" w14:textId="735CB218"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 xml:space="preserve">AND Citizens’ budget based on approved FY21 state budget published online by end April 2021 with functional online feedback mechanisms </w:t>
            </w:r>
          </w:p>
          <w:p w14:paraId="72F98C5C" w14:textId="15CF80DE" w:rsidR="006A6E6D" w:rsidRPr="00F66630" w:rsidRDefault="006A6E6D" w:rsidP="00832905">
            <w:pPr>
              <w:spacing w:after="120"/>
              <w:rPr>
                <w:rFonts w:ascii="Times New Roman" w:hAnsi="Times New Roman" w:cs="Times New Roman"/>
                <w:sz w:val="23"/>
                <w:szCs w:val="23"/>
              </w:rPr>
            </w:pPr>
            <w:r w:rsidRPr="00F66630">
              <w:rPr>
                <w:rFonts w:ascii="Times New Roman" w:hAnsi="Times New Roman" w:cs="Times New Roman"/>
                <w:sz w:val="23"/>
                <w:szCs w:val="23"/>
              </w:rPr>
              <w:t xml:space="preserve">2.2 Citizens accountability report based on audited financial statements/reports published online for FY20 no later than </w:t>
            </w:r>
            <w:r w:rsidR="000243CD" w:rsidRPr="00F66630">
              <w:rPr>
                <w:rFonts w:ascii="Times New Roman" w:hAnsi="Times New Roman" w:cs="Times New Roman"/>
                <w:sz w:val="23"/>
                <w:szCs w:val="23"/>
              </w:rPr>
              <w:t xml:space="preserve">end </w:t>
            </w:r>
            <w:r w:rsidRPr="00F66630">
              <w:rPr>
                <w:rFonts w:ascii="Times New Roman" w:hAnsi="Times New Roman" w:cs="Times New Roman"/>
                <w:sz w:val="23"/>
                <w:szCs w:val="23"/>
              </w:rPr>
              <w:t>Sept 2021</w:t>
            </w:r>
          </w:p>
        </w:tc>
      </w:tr>
      <w:tr w:rsidR="00022C94" w:rsidRPr="00F66630" w14:paraId="536127C6" w14:textId="77777777" w:rsidTr="00452A4F">
        <w:trPr>
          <w:trHeight w:val="251"/>
        </w:trPr>
        <w:tc>
          <w:tcPr>
            <w:tcW w:w="866" w:type="pct"/>
            <w:shd w:val="clear" w:color="auto" w:fill="F2F2F2" w:themeFill="background1" w:themeFillShade="F2"/>
            <w:vAlign w:val="center"/>
          </w:tcPr>
          <w:p w14:paraId="0A17A31B" w14:textId="353CF1E3"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2.1 value</w:t>
            </w:r>
          </w:p>
        </w:tc>
        <w:tc>
          <w:tcPr>
            <w:tcW w:w="1034" w:type="pct"/>
            <w:shd w:val="clear" w:color="auto" w:fill="F2F2F2" w:themeFill="background1" w:themeFillShade="F2"/>
          </w:tcPr>
          <w:p w14:paraId="14FFA262" w14:textId="2F270896"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c>
          <w:tcPr>
            <w:tcW w:w="1034" w:type="pct"/>
            <w:shd w:val="clear" w:color="auto" w:fill="F2F2F2" w:themeFill="background1" w:themeFillShade="F2"/>
          </w:tcPr>
          <w:p w14:paraId="2E054CE3" w14:textId="33BF92E1"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$0.3m per state</w:t>
            </w:r>
          </w:p>
        </w:tc>
        <w:tc>
          <w:tcPr>
            <w:tcW w:w="1035" w:type="pct"/>
            <w:shd w:val="clear" w:color="auto" w:fill="F2F2F2" w:themeFill="background1" w:themeFillShade="F2"/>
          </w:tcPr>
          <w:p w14:paraId="1C637EA7" w14:textId="1EF5D1AF"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w:t>
            </w:r>
            <w:r w:rsidR="00FA2E0A" w:rsidRPr="00F66630">
              <w:rPr>
                <w:rFonts w:ascii="Times New Roman" w:hAnsi="Times New Roman" w:cs="Times New Roman"/>
                <w:i/>
                <w:color w:val="C00000"/>
                <w:sz w:val="23"/>
                <w:szCs w:val="23"/>
              </w:rPr>
              <w:t xml:space="preserve">3m </w:t>
            </w:r>
            <w:r w:rsidRPr="00F66630">
              <w:rPr>
                <w:rFonts w:ascii="Times New Roman" w:hAnsi="Times New Roman" w:cs="Times New Roman"/>
                <w:i/>
                <w:color w:val="C00000"/>
                <w:sz w:val="23"/>
                <w:szCs w:val="23"/>
              </w:rPr>
              <w:t>per state</w:t>
            </w:r>
          </w:p>
        </w:tc>
        <w:tc>
          <w:tcPr>
            <w:tcW w:w="1031" w:type="pct"/>
            <w:shd w:val="clear" w:color="auto" w:fill="F2F2F2" w:themeFill="background1" w:themeFillShade="F2"/>
          </w:tcPr>
          <w:p w14:paraId="2FFE8C82" w14:textId="13AFA906"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$0.5m per state</w:t>
            </w:r>
          </w:p>
        </w:tc>
      </w:tr>
      <w:tr w:rsidR="00022C94" w:rsidRPr="00F66630" w14:paraId="6CB95706" w14:textId="77777777" w:rsidTr="00372D1B">
        <w:trPr>
          <w:trHeight w:val="332"/>
        </w:trPr>
        <w:tc>
          <w:tcPr>
            <w:tcW w:w="866" w:type="pct"/>
            <w:shd w:val="clear" w:color="auto" w:fill="F2F2F2" w:themeFill="background1" w:themeFillShade="F2"/>
            <w:vAlign w:val="center"/>
          </w:tcPr>
          <w:p w14:paraId="513FBAE2" w14:textId="7758486C"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2.2 value</w:t>
            </w:r>
          </w:p>
        </w:tc>
        <w:tc>
          <w:tcPr>
            <w:tcW w:w="1034" w:type="pct"/>
            <w:shd w:val="clear" w:color="auto" w:fill="F2F2F2" w:themeFill="background1" w:themeFillShade="F2"/>
          </w:tcPr>
          <w:p w14:paraId="07647559" w14:textId="4CA6E500"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N/A</w:t>
            </w:r>
          </w:p>
        </w:tc>
        <w:tc>
          <w:tcPr>
            <w:tcW w:w="1034" w:type="pct"/>
            <w:shd w:val="clear" w:color="auto" w:fill="F2F2F2" w:themeFill="background1" w:themeFillShade="F2"/>
          </w:tcPr>
          <w:p w14:paraId="33F68FC1" w14:textId="19004215"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c>
          <w:tcPr>
            <w:tcW w:w="1035" w:type="pct"/>
            <w:shd w:val="clear" w:color="auto" w:fill="F2F2F2" w:themeFill="background1" w:themeFillShade="F2"/>
          </w:tcPr>
          <w:p w14:paraId="14F5B057" w14:textId="5779E3B7"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w:t>
            </w:r>
            <w:r w:rsidR="00916166" w:rsidRPr="00F66630">
              <w:rPr>
                <w:rFonts w:ascii="Times New Roman" w:hAnsi="Times New Roman" w:cs="Times New Roman"/>
                <w:i/>
                <w:color w:val="C00000"/>
                <w:sz w:val="23"/>
                <w:szCs w:val="23"/>
              </w:rPr>
              <w:t xml:space="preserve">5m </w:t>
            </w:r>
            <w:r w:rsidRPr="00F66630">
              <w:rPr>
                <w:rFonts w:ascii="Times New Roman" w:hAnsi="Times New Roman" w:cs="Times New Roman"/>
                <w:i/>
                <w:color w:val="C00000"/>
                <w:sz w:val="23"/>
                <w:szCs w:val="23"/>
              </w:rPr>
              <w:t>per state</w:t>
            </w:r>
          </w:p>
        </w:tc>
        <w:tc>
          <w:tcPr>
            <w:tcW w:w="1031" w:type="pct"/>
            <w:shd w:val="clear" w:color="auto" w:fill="F2F2F2" w:themeFill="background1" w:themeFillShade="F2"/>
          </w:tcPr>
          <w:p w14:paraId="307AA930" w14:textId="41E07C38"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$0.3m per state</w:t>
            </w:r>
          </w:p>
        </w:tc>
      </w:tr>
      <w:tr w:rsidR="006A6E6D" w:rsidRPr="00F66630" w:rsidDel="0024341A" w14:paraId="6335578E" w14:textId="77777777" w:rsidTr="00452A4F">
        <w:trPr>
          <w:trHeight w:val="638"/>
        </w:trPr>
        <w:tc>
          <w:tcPr>
            <w:tcW w:w="866" w:type="pct"/>
            <w:shd w:val="clear" w:color="auto" w:fill="auto"/>
          </w:tcPr>
          <w:p w14:paraId="1D4C710D" w14:textId="77777777" w:rsidR="006A6E6D" w:rsidRPr="00F66630" w:rsidRDefault="006A6E6D" w:rsidP="00832905">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t xml:space="preserve">DLI 3: </w:t>
            </w:r>
            <w:r w:rsidRPr="00F66630">
              <w:rPr>
                <w:rFonts w:ascii="Times New Roman" w:hAnsi="Times New Roman" w:cs="Times New Roman"/>
                <w:b/>
                <w:bCs/>
                <w:color w:val="000000"/>
                <w:sz w:val="24"/>
                <w:szCs w:val="24"/>
              </w:rPr>
              <w:t>Improved cash management and reduced revenue leakages through implementation of State TSA</w:t>
            </w:r>
          </w:p>
        </w:tc>
        <w:tc>
          <w:tcPr>
            <w:tcW w:w="1034" w:type="pct"/>
            <w:shd w:val="clear" w:color="auto" w:fill="auto"/>
          </w:tcPr>
          <w:p w14:paraId="3F6D4778" w14:textId="77777777" w:rsidR="006A6E6D" w:rsidRPr="00F66630" w:rsidRDefault="006A6E6D" w:rsidP="00832905">
            <w:pPr>
              <w:rPr>
                <w:rFonts w:ascii="Times New Roman" w:hAnsi="Times New Roman" w:cs="Times New Roman"/>
                <w:sz w:val="24"/>
                <w:szCs w:val="24"/>
              </w:rPr>
            </w:pPr>
            <w:r w:rsidRPr="00F66630">
              <w:rPr>
                <w:rFonts w:ascii="Times New Roman" w:hAnsi="Times New Roman" w:cs="Times New Roman"/>
                <w:sz w:val="24"/>
                <w:szCs w:val="24"/>
              </w:rPr>
              <w:t>TSA, based on a formally approved cash management strategy, established and functional, and covering a minimum of 50 percent of state government finances</w:t>
            </w:r>
          </w:p>
        </w:tc>
        <w:tc>
          <w:tcPr>
            <w:tcW w:w="1034" w:type="pct"/>
            <w:shd w:val="clear" w:color="auto" w:fill="auto"/>
          </w:tcPr>
          <w:p w14:paraId="5E5B927F" w14:textId="77777777" w:rsidR="006A6E6D" w:rsidRPr="00F66630" w:rsidRDefault="006A6E6D" w:rsidP="00832905">
            <w:pPr>
              <w:rPr>
                <w:rFonts w:ascii="Times New Roman" w:hAnsi="Times New Roman" w:cs="Times New Roman"/>
                <w:sz w:val="24"/>
                <w:szCs w:val="24"/>
              </w:rPr>
            </w:pPr>
            <w:r w:rsidRPr="00F66630">
              <w:rPr>
                <w:rFonts w:ascii="Times New Roman" w:hAnsi="Times New Roman" w:cs="Times New Roman"/>
                <w:sz w:val="24"/>
                <w:szCs w:val="24"/>
              </w:rPr>
              <w:t>TSA, based on a formally approved cash management strategy, established and functional, and covering a minimum of 60 percent of state government finances.</w:t>
            </w:r>
          </w:p>
        </w:tc>
        <w:tc>
          <w:tcPr>
            <w:tcW w:w="1035" w:type="pct"/>
            <w:shd w:val="clear" w:color="auto" w:fill="auto"/>
          </w:tcPr>
          <w:p w14:paraId="4FDF875D" w14:textId="65A716DB" w:rsidR="006A6E6D" w:rsidRPr="00F66630" w:rsidRDefault="006A6E6D" w:rsidP="00832905">
            <w:pPr>
              <w:rPr>
                <w:rFonts w:ascii="Times New Roman" w:hAnsi="Times New Roman" w:cs="Times New Roman"/>
                <w:sz w:val="24"/>
                <w:szCs w:val="24"/>
              </w:rPr>
            </w:pPr>
            <w:r w:rsidRPr="00F66630">
              <w:rPr>
                <w:rFonts w:ascii="Times New Roman" w:hAnsi="Times New Roman" w:cs="Times New Roman"/>
                <w:sz w:val="24"/>
                <w:szCs w:val="24"/>
              </w:rPr>
              <w:t>TSA, based on a formally approved cash management strategy, established and functional, and covering a minimum of 70 percent of state government finances.</w:t>
            </w:r>
          </w:p>
        </w:tc>
        <w:tc>
          <w:tcPr>
            <w:tcW w:w="1031" w:type="pct"/>
            <w:shd w:val="clear" w:color="auto" w:fill="auto"/>
          </w:tcPr>
          <w:p w14:paraId="4D58D021" w14:textId="77777777" w:rsidR="006A6E6D" w:rsidRPr="00F66630" w:rsidDel="0024341A" w:rsidRDefault="006A6E6D" w:rsidP="00832905">
            <w:pPr>
              <w:rPr>
                <w:rFonts w:ascii="Times New Roman" w:hAnsi="Times New Roman" w:cs="Times New Roman"/>
                <w:sz w:val="24"/>
                <w:szCs w:val="24"/>
              </w:rPr>
            </w:pPr>
            <w:r w:rsidRPr="00F66630">
              <w:rPr>
                <w:rFonts w:ascii="Times New Roman" w:hAnsi="Times New Roman" w:cs="Times New Roman"/>
                <w:sz w:val="24"/>
                <w:szCs w:val="24"/>
              </w:rPr>
              <w:t>TSA, based on a formally approved cash management strategy, established and functional, and covering a minimum of 80 percent of state government finances.</w:t>
            </w:r>
          </w:p>
        </w:tc>
      </w:tr>
      <w:tr w:rsidR="00022C94" w:rsidRPr="00F66630" w14:paraId="56E063F6" w14:textId="77777777" w:rsidTr="00452A4F">
        <w:trPr>
          <w:trHeight w:val="269"/>
        </w:trPr>
        <w:tc>
          <w:tcPr>
            <w:tcW w:w="866" w:type="pct"/>
            <w:shd w:val="clear" w:color="auto" w:fill="FFFFFF" w:themeFill="background1"/>
          </w:tcPr>
          <w:p w14:paraId="106CCD10" w14:textId="43E0B8C3" w:rsidR="00022C94" w:rsidRPr="00F66630" w:rsidRDefault="00022C94" w:rsidP="00022C94">
            <w:pPr>
              <w:pStyle w:val="ListParagraph"/>
              <w:ind w:left="0"/>
              <w:rPr>
                <w:rFonts w:ascii="Times New Roman" w:hAnsi="Times New Roman" w:cs="Times New Roman"/>
                <w:i/>
                <w:sz w:val="23"/>
                <w:szCs w:val="23"/>
              </w:rPr>
            </w:pPr>
            <w:r w:rsidRPr="00F66630">
              <w:rPr>
                <w:rFonts w:ascii="Times New Roman" w:hAnsi="Times New Roman" w:cs="Times New Roman"/>
                <w:i/>
                <w:color w:val="C00000"/>
                <w:sz w:val="23"/>
                <w:szCs w:val="23"/>
              </w:rPr>
              <w:t>DLR 3 value</w:t>
            </w:r>
          </w:p>
        </w:tc>
        <w:tc>
          <w:tcPr>
            <w:tcW w:w="1034" w:type="pct"/>
            <w:shd w:val="clear" w:color="auto" w:fill="FFFFFF" w:themeFill="background1"/>
          </w:tcPr>
          <w:p w14:paraId="0484C29B" w14:textId="3C0FEAD5" w:rsidR="00022C94" w:rsidRPr="00F66630" w:rsidRDefault="00022C94" w:rsidP="00022C94">
            <w:pPr>
              <w:spacing w:after="120"/>
              <w:rPr>
                <w:rFonts w:ascii="Times New Roman" w:hAnsi="Times New Roman" w:cs="Times New Roman"/>
                <w:b/>
                <w:sz w:val="23"/>
                <w:szCs w:val="23"/>
              </w:rPr>
            </w:pPr>
            <w:r w:rsidRPr="00F66630">
              <w:rPr>
                <w:rFonts w:ascii="Times New Roman" w:hAnsi="Times New Roman" w:cs="Times New Roman"/>
                <w:bCs/>
                <w:i/>
                <w:color w:val="C00000"/>
                <w:sz w:val="23"/>
                <w:szCs w:val="23"/>
              </w:rPr>
              <w:t>$1.5m per state</w:t>
            </w:r>
          </w:p>
        </w:tc>
        <w:tc>
          <w:tcPr>
            <w:tcW w:w="1034" w:type="pct"/>
            <w:shd w:val="clear" w:color="auto" w:fill="FFFFFF" w:themeFill="background1"/>
          </w:tcPr>
          <w:p w14:paraId="742A7724" w14:textId="411D00E7" w:rsidR="00022C94" w:rsidRPr="00F66630" w:rsidRDefault="00022C94" w:rsidP="00022C94">
            <w:pPr>
              <w:spacing w:after="120"/>
              <w:rPr>
                <w:rFonts w:ascii="Times New Roman" w:hAnsi="Times New Roman" w:cs="Times New Roman"/>
                <w:b/>
                <w:sz w:val="23"/>
                <w:szCs w:val="23"/>
              </w:rPr>
            </w:pPr>
            <w:r w:rsidRPr="00F66630">
              <w:rPr>
                <w:rFonts w:ascii="Times New Roman" w:hAnsi="Times New Roman" w:cs="Times New Roman"/>
                <w:bCs/>
                <w:i/>
                <w:color w:val="C00000"/>
                <w:sz w:val="23"/>
                <w:szCs w:val="23"/>
              </w:rPr>
              <w:t>$1.5m per state</w:t>
            </w:r>
          </w:p>
        </w:tc>
        <w:tc>
          <w:tcPr>
            <w:tcW w:w="1035" w:type="pct"/>
            <w:shd w:val="clear" w:color="auto" w:fill="FFFFFF" w:themeFill="background1"/>
          </w:tcPr>
          <w:p w14:paraId="1C29A12F" w14:textId="0F9DA1BD" w:rsidR="00022C94" w:rsidRPr="00F66630" w:rsidRDefault="00022C94" w:rsidP="00022C94">
            <w:pPr>
              <w:spacing w:after="120"/>
              <w:rPr>
                <w:rFonts w:ascii="Times New Roman" w:hAnsi="Times New Roman" w:cs="Times New Roman"/>
                <w:b/>
                <w:sz w:val="23"/>
                <w:szCs w:val="23"/>
              </w:rPr>
            </w:pPr>
            <w:r w:rsidRPr="00F66630">
              <w:rPr>
                <w:rFonts w:ascii="Times New Roman" w:hAnsi="Times New Roman" w:cs="Times New Roman"/>
                <w:bCs/>
                <w:i/>
                <w:color w:val="C00000"/>
                <w:sz w:val="23"/>
                <w:szCs w:val="23"/>
              </w:rPr>
              <w:t>$1.5m per state</w:t>
            </w:r>
          </w:p>
        </w:tc>
        <w:tc>
          <w:tcPr>
            <w:tcW w:w="1031" w:type="pct"/>
            <w:shd w:val="clear" w:color="auto" w:fill="FFFFFF" w:themeFill="background1"/>
          </w:tcPr>
          <w:p w14:paraId="04193A5B" w14:textId="5246DE55" w:rsidR="00022C94" w:rsidRPr="00F66630" w:rsidRDefault="00022C94" w:rsidP="00022C94">
            <w:pPr>
              <w:spacing w:after="120"/>
              <w:rPr>
                <w:rFonts w:ascii="Times New Roman" w:hAnsi="Times New Roman" w:cs="Times New Roman"/>
                <w:b/>
                <w:sz w:val="23"/>
                <w:szCs w:val="23"/>
              </w:rPr>
            </w:pPr>
            <w:r w:rsidRPr="00F66630">
              <w:rPr>
                <w:rFonts w:ascii="Times New Roman" w:hAnsi="Times New Roman" w:cs="Times New Roman"/>
                <w:bCs/>
                <w:i/>
                <w:color w:val="C00000"/>
                <w:sz w:val="23"/>
                <w:szCs w:val="23"/>
              </w:rPr>
              <w:t>$1.5m per state</w:t>
            </w:r>
          </w:p>
        </w:tc>
      </w:tr>
      <w:tr w:rsidR="004C02C9" w:rsidRPr="00F66630" w:rsidDel="0024341A" w14:paraId="0D61B335" w14:textId="77777777" w:rsidTr="004C02C9">
        <w:trPr>
          <w:trHeight w:val="764"/>
        </w:trPr>
        <w:tc>
          <w:tcPr>
            <w:tcW w:w="866" w:type="pct"/>
            <w:vMerge w:val="restart"/>
            <w:shd w:val="clear" w:color="auto" w:fill="F2F2F2" w:themeFill="background1" w:themeFillShade="F2"/>
          </w:tcPr>
          <w:p w14:paraId="7967C954" w14:textId="77777777" w:rsidR="004C02C9" w:rsidRPr="00F66630" w:rsidRDefault="004C02C9" w:rsidP="00832905">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lastRenderedPageBreak/>
              <w:t>DLI 4: Strengthened Internally Generated Revenue (IGR) collection</w:t>
            </w:r>
          </w:p>
        </w:tc>
        <w:tc>
          <w:tcPr>
            <w:tcW w:w="4134" w:type="pct"/>
            <w:gridSpan w:val="4"/>
            <w:shd w:val="clear" w:color="auto" w:fill="F2F2F2" w:themeFill="background1" w:themeFillShade="F2"/>
          </w:tcPr>
          <w:p w14:paraId="23E7C448" w14:textId="55A949C1" w:rsidR="004C02C9" w:rsidRPr="00F66630" w:rsidDel="0024341A" w:rsidRDefault="004C02C9" w:rsidP="00832905">
            <w:pPr>
              <w:rPr>
                <w:rFonts w:ascii="Times New Roman" w:eastAsia="Calibri" w:hAnsi="Times New Roman" w:cs="Times New Roman"/>
                <w:i/>
                <w:sz w:val="23"/>
                <w:szCs w:val="23"/>
              </w:rPr>
            </w:pPr>
            <w:r w:rsidRPr="00F66630">
              <w:rPr>
                <w:rFonts w:ascii="Times New Roman" w:hAnsi="Times New Roman"/>
                <w:sz w:val="23"/>
                <w:szCs w:val="23"/>
              </w:rPr>
              <w:t xml:space="preserve">4.1 State implementing a consolidated state revenue code covering all state IGR sources and </w:t>
            </w:r>
            <w:r w:rsidRPr="00F66630">
              <w:rPr>
                <w:rFonts w:ascii="Times New Roman" w:hAnsi="Times New Roman"/>
                <w:color w:val="000000"/>
                <w:sz w:val="23"/>
                <w:szCs w:val="23"/>
              </w:rPr>
              <w:t xml:space="preserve">stipulating that the state bureau of internal revenue is the sole agency responsible for state revenue collection and accounting. Code must be </w:t>
            </w:r>
            <w:r w:rsidRPr="00F66630">
              <w:rPr>
                <w:rFonts w:ascii="Times New Roman" w:hAnsi="Times New Roman"/>
                <w:sz w:val="23"/>
                <w:szCs w:val="23"/>
              </w:rPr>
              <w:t xml:space="preserve">approved by the state legislature and published. </w:t>
            </w:r>
            <w:r w:rsidRPr="00F66630">
              <w:rPr>
                <w:rFonts w:ascii="Times New Roman" w:hAnsi="Times New Roman"/>
                <w:i/>
                <w:sz w:val="23"/>
                <w:szCs w:val="23"/>
              </w:rPr>
              <w:t xml:space="preserve">(one-time payment for year in which DLR is first achieved, up to </w:t>
            </w:r>
            <w:r w:rsidR="00426603" w:rsidRPr="00F66630">
              <w:rPr>
                <w:rFonts w:ascii="Times New Roman" w:hAnsi="Times New Roman"/>
                <w:i/>
                <w:sz w:val="23"/>
                <w:szCs w:val="23"/>
              </w:rPr>
              <w:t xml:space="preserve">end of </w:t>
            </w:r>
            <w:r w:rsidRPr="00F66630">
              <w:rPr>
                <w:rFonts w:ascii="Times New Roman" w:hAnsi="Times New Roman"/>
                <w:i/>
                <w:sz w:val="23"/>
                <w:szCs w:val="23"/>
              </w:rPr>
              <w:t>2021)</w:t>
            </w:r>
          </w:p>
        </w:tc>
      </w:tr>
      <w:tr w:rsidR="006A6E6D" w:rsidRPr="00F66630" w:rsidDel="0024341A" w14:paraId="0CF18713" w14:textId="77777777" w:rsidTr="00452A4F">
        <w:trPr>
          <w:trHeight w:val="494"/>
        </w:trPr>
        <w:tc>
          <w:tcPr>
            <w:tcW w:w="866" w:type="pct"/>
            <w:vMerge/>
            <w:shd w:val="clear" w:color="auto" w:fill="F2F2F2" w:themeFill="background1" w:themeFillShade="F2"/>
          </w:tcPr>
          <w:p w14:paraId="7824C2CE" w14:textId="77777777" w:rsidR="006A6E6D" w:rsidRPr="00F66630" w:rsidRDefault="006A6E6D" w:rsidP="00832905">
            <w:pPr>
              <w:pStyle w:val="ListParagraph"/>
              <w:ind w:left="0"/>
              <w:rPr>
                <w:rFonts w:ascii="Times New Roman" w:hAnsi="Times New Roman" w:cs="Times New Roman"/>
                <w:b/>
                <w:sz w:val="24"/>
                <w:szCs w:val="24"/>
              </w:rPr>
            </w:pPr>
          </w:p>
        </w:tc>
        <w:tc>
          <w:tcPr>
            <w:tcW w:w="1034" w:type="pct"/>
            <w:shd w:val="clear" w:color="auto" w:fill="F2F2F2" w:themeFill="background1" w:themeFillShade="F2"/>
          </w:tcPr>
          <w:p w14:paraId="2A4CB0CD" w14:textId="0F5A0049"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4.2 2018-2017 annual nominal IGR growth rate meets target:</w:t>
            </w:r>
            <w:r w:rsidRPr="00F66630">
              <w:rPr>
                <w:rFonts w:ascii="Times New Roman" w:hAnsi="Times New Roman" w:cs="Times New Roman"/>
                <w:sz w:val="23"/>
                <w:szCs w:val="23"/>
              </w:rPr>
              <w:br/>
            </w:r>
            <w:r w:rsidRPr="00F66630">
              <w:rPr>
                <w:rFonts w:ascii="Times New Roman" w:hAnsi="Times New Roman" w:cs="Times New Roman"/>
                <w:b/>
                <w:sz w:val="23"/>
                <w:szCs w:val="23"/>
              </w:rPr>
              <w:t>Basic target</w:t>
            </w:r>
            <w:r w:rsidRPr="00F66630">
              <w:rPr>
                <w:rFonts w:ascii="Times New Roman" w:hAnsi="Times New Roman" w:cs="Times New Roman"/>
                <w:sz w:val="23"/>
                <w:szCs w:val="23"/>
              </w:rPr>
              <w:t>: 20%-39%</w:t>
            </w:r>
            <w:r w:rsidRPr="00F66630">
              <w:rPr>
                <w:rFonts w:ascii="Times New Roman" w:hAnsi="Times New Roman" w:cs="Times New Roman"/>
                <w:sz w:val="23"/>
                <w:szCs w:val="23"/>
              </w:rPr>
              <w:br/>
            </w:r>
            <w:r w:rsidRPr="00F66630">
              <w:rPr>
                <w:rFonts w:ascii="Times New Roman" w:hAnsi="Times New Roman" w:cs="Times New Roman"/>
                <w:b/>
                <w:sz w:val="23"/>
                <w:szCs w:val="23"/>
              </w:rPr>
              <w:t>Stretch target:</w:t>
            </w:r>
            <w:r w:rsidRPr="00F66630">
              <w:rPr>
                <w:rFonts w:ascii="Times New Roman" w:hAnsi="Times New Roman" w:cs="Times New Roman"/>
                <w:sz w:val="23"/>
                <w:szCs w:val="23"/>
              </w:rPr>
              <w:t xml:space="preserve"> 40% or more</w:t>
            </w:r>
          </w:p>
        </w:tc>
        <w:tc>
          <w:tcPr>
            <w:tcW w:w="1034" w:type="pct"/>
            <w:shd w:val="clear" w:color="auto" w:fill="F2F2F2" w:themeFill="background1" w:themeFillShade="F2"/>
          </w:tcPr>
          <w:p w14:paraId="5B2764B7"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4.2 2019-2018 annual nominal IGR growth rate meets target:</w:t>
            </w:r>
            <w:r w:rsidRPr="00F66630">
              <w:rPr>
                <w:rFonts w:ascii="Times New Roman" w:hAnsi="Times New Roman" w:cs="Times New Roman"/>
                <w:sz w:val="23"/>
                <w:szCs w:val="23"/>
              </w:rPr>
              <w:br/>
              <w:t>-</w:t>
            </w:r>
            <w:r w:rsidRPr="00F66630">
              <w:rPr>
                <w:rFonts w:ascii="Times New Roman" w:hAnsi="Times New Roman" w:cs="Times New Roman"/>
                <w:b/>
                <w:sz w:val="23"/>
                <w:szCs w:val="23"/>
              </w:rPr>
              <w:t>Basic target</w:t>
            </w:r>
            <w:r w:rsidRPr="00F66630">
              <w:rPr>
                <w:rFonts w:ascii="Times New Roman" w:hAnsi="Times New Roman" w:cs="Times New Roman"/>
                <w:sz w:val="23"/>
                <w:szCs w:val="23"/>
              </w:rPr>
              <w:t>: 20%-39%</w:t>
            </w:r>
            <w:r w:rsidRPr="00F66630">
              <w:rPr>
                <w:rFonts w:ascii="Times New Roman" w:hAnsi="Times New Roman" w:cs="Times New Roman"/>
                <w:sz w:val="23"/>
                <w:szCs w:val="23"/>
              </w:rPr>
              <w:br/>
              <w:t>-</w:t>
            </w:r>
            <w:r w:rsidRPr="00F66630">
              <w:rPr>
                <w:rFonts w:ascii="Times New Roman" w:hAnsi="Times New Roman" w:cs="Times New Roman"/>
                <w:b/>
                <w:sz w:val="23"/>
                <w:szCs w:val="23"/>
              </w:rPr>
              <w:t>Stretch target:</w:t>
            </w:r>
            <w:r w:rsidRPr="00F66630">
              <w:rPr>
                <w:rFonts w:ascii="Times New Roman" w:hAnsi="Times New Roman" w:cs="Times New Roman"/>
                <w:sz w:val="23"/>
                <w:szCs w:val="23"/>
              </w:rPr>
              <w:t xml:space="preserve"> 40% or more</w:t>
            </w:r>
          </w:p>
        </w:tc>
        <w:tc>
          <w:tcPr>
            <w:tcW w:w="1035" w:type="pct"/>
            <w:shd w:val="clear" w:color="auto" w:fill="F2F2F2" w:themeFill="background1" w:themeFillShade="F2"/>
          </w:tcPr>
          <w:p w14:paraId="114F9BD2" w14:textId="15238083"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4.2 </w:t>
            </w:r>
            <w:r w:rsidR="00711124" w:rsidRPr="00F66630">
              <w:rPr>
                <w:rFonts w:ascii="Times New Roman" w:hAnsi="Times New Roman" w:cs="Times New Roman"/>
                <w:sz w:val="23"/>
                <w:szCs w:val="23"/>
              </w:rPr>
              <w:t xml:space="preserve">2020 nominal IGR collection is equal </w:t>
            </w:r>
            <w:r w:rsidR="00426603" w:rsidRPr="00F66630">
              <w:rPr>
                <w:rFonts w:ascii="Times New Roman" w:hAnsi="Times New Roman" w:cs="Times New Roman"/>
                <w:sz w:val="23"/>
                <w:szCs w:val="23"/>
              </w:rPr>
              <w:t xml:space="preserve">to </w:t>
            </w:r>
            <w:r w:rsidR="00711124" w:rsidRPr="00F66630">
              <w:rPr>
                <w:rFonts w:ascii="Times New Roman" w:hAnsi="Times New Roman" w:cs="Times New Roman"/>
                <w:sz w:val="23"/>
                <w:szCs w:val="23"/>
              </w:rPr>
              <w:t>or higher t</w:t>
            </w:r>
            <w:r w:rsidR="00E72AA1" w:rsidRPr="00F66630">
              <w:rPr>
                <w:rFonts w:ascii="Times New Roman" w:hAnsi="Times New Roman" w:cs="Times New Roman"/>
                <w:sz w:val="23"/>
                <w:szCs w:val="23"/>
              </w:rPr>
              <w:t>han</w:t>
            </w:r>
            <w:r w:rsidR="00711124" w:rsidRPr="00F66630">
              <w:rPr>
                <w:rFonts w:ascii="Times New Roman" w:hAnsi="Times New Roman" w:cs="Times New Roman"/>
                <w:sz w:val="23"/>
                <w:szCs w:val="23"/>
              </w:rPr>
              <w:t xml:space="preserve"> the 2019 nominal IGR collection</w:t>
            </w:r>
          </w:p>
        </w:tc>
        <w:tc>
          <w:tcPr>
            <w:tcW w:w="1031" w:type="pct"/>
            <w:shd w:val="clear" w:color="auto" w:fill="F2F2F2" w:themeFill="background1" w:themeFillShade="F2"/>
          </w:tcPr>
          <w:p w14:paraId="36198AE0" w14:textId="77777777" w:rsidR="006A6E6D" w:rsidRPr="00F66630" w:rsidDel="0024341A" w:rsidRDefault="006A6E6D" w:rsidP="00832905">
            <w:pPr>
              <w:rPr>
                <w:rFonts w:ascii="Times New Roman" w:hAnsi="Times New Roman" w:cs="Times New Roman"/>
                <w:b/>
                <w:sz w:val="23"/>
                <w:szCs w:val="23"/>
              </w:rPr>
            </w:pPr>
            <w:r w:rsidRPr="00F66630">
              <w:rPr>
                <w:rFonts w:ascii="Times New Roman" w:hAnsi="Times New Roman" w:cs="Times New Roman"/>
                <w:sz w:val="23"/>
                <w:szCs w:val="23"/>
              </w:rPr>
              <w:t>4.2 2021-2020 annual nominal IGR growth rate meets target:</w:t>
            </w:r>
            <w:r w:rsidRPr="00F66630">
              <w:rPr>
                <w:rFonts w:ascii="Times New Roman" w:hAnsi="Times New Roman" w:cs="Times New Roman"/>
                <w:sz w:val="23"/>
                <w:szCs w:val="23"/>
              </w:rPr>
              <w:br/>
              <w:t>-</w:t>
            </w:r>
            <w:r w:rsidRPr="00F66630">
              <w:rPr>
                <w:rFonts w:ascii="Times New Roman" w:hAnsi="Times New Roman" w:cs="Times New Roman"/>
                <w:b/>
                <w:sz w:val="23"/>
                <w:szCs w:val="23"/>
              </w:rPr>
              <w:t>Basic target</w:t>
            </w:r>
            <w:r w:rsidRPr="00F66630">
              <w:rPr>
                <w:rFonts w:ascii="Times New Roman" w:hAnsi="Times New Roman" w:cs="Times New Roman"/>
                <w:sz w:val="23"/>
                <w:szCs w:val="23"/>
              </w:rPr>
              <w:t>: 20%-39%</w:t>
            </w:r>
            <w:r w:rsidRPr="00F66630">
              <w:rPr>
                <w:rFonts w:ascii="Times New Roman" w:hAnsi="Times New Roman" w:cs="Times New Roman"/>
                <w:sz w:val="23"/>
                <w:szCs w:val="23"/>
              </w:rPr>
              <w:br/>
              <w:t>-</w:t>
            </w:r>
            <w:r w:rsidRPr="00F66630">
              <w:rPr>
                <w:rFonts w:ascii="Times New Roman" w:hAnsi="Times New Roman" w:cs="Times New Roman"/>
                <w:b/>
                <w:sz w:val="23"/>
                <w:szCs w:val="23"/>
              </w:rPr>
              <w:t>Stretch target:</w:t>
            </w:r>
            <w:r w:rsidRPr="00F66630">
              <w:rPr>
                <w:rFonts w:ascii="Times New Roman" w:hAnsi="Times New Roman" w:cs="Times New Roman"/>
                <w:sz w:val="23"/>
                <w:szCs w:val="23"/>
              </w:rPr>
              <w:t xml:space="preserve"> 40% or more</w:t>
            </w:r>
          </w:p>
        </w:tc>
      </w:tr>
      <w:tr w:rsidR="00AD087A" w:rsidRPr="00F66630" w14:paraId="30F13EA9" w14:textId="77777777" w:rsidTr="00452A4F">
        <w:trPr>
          <w:trHeight w:val="332"/>
        </w:trPr>
        <w:tc>
          <w:tcPr>
            <w:tcW w:w="866" w:type="pct"/>
            <w:shd w:val="clear" w:color="auto" w:fill="F2F2F2" w:themeFill="background1" w:themeFillShade="F2"/>
          </w:tcPr>
          <w:p w14:paraId="096CB968" w14:textId="3B8B2DDA" w:rsidR="00AD087A" w:rsidRPr="00F66630" w:rsidRDefault="00AD087A" w:rsidP="00AD087A">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4.1 value</w:t>
            </w:r>
          </w:p>
        </w:tc>
        <w:tc>
          <w:tcPr>
            <w:tcW w:w="1034" w:type="pct"/>
            <w:shd w:val="clear" w:color="auto" w:fill="F2F2F2" w:themeFill="background1" w:themeFillShade="F2"/>
          </w:tcPr>
          <w:p w14:paraId="6B58B931" w14:textId="79D2C039" w:rsidR="00AD087A" w:rsidRPr="00F66630" w:rsidRDefault="00AD087A" w:rsidP="00AD087A">
            <w:pPr>
              <w:spacing w:after="120"/>
              <w:rPr>
                <w:rFonts w:ascii="Times New Roman" w:hAnsi="Times New Roman" w:cs="Times New Roman"/>
                <w:bCs/>
                <w:i/>
                <w:color w:val="C00000"/>
                <w:sz w:val="23"/>
                <w:szCs w:val="23"/>
              </w:rPr>
            </w:pPr>
            <w:r w:rsidRPr="00F66630">
              <w:rPr>
                <w:rFonts w:ascii="Times New Roman" w:hAnsi="Times New Roman" w:cs="Times New Roman"/>
                <w:bCs/>
                <w:i/>
                <w:color w:val="C00000"/>
                <w:sz w:val="23"/>
                <w:szCs w:val="23"/>
              </w:rPr>
              <w:t>$2m per state</w:t>
            </w:r>
          </w:p>
        </w:tc>
        <w:tc>
          <w:tcPr>
            <w:tcW w:w="1034" w:type="pct"/>
            <w:shd w:val="clear" w:color="auto" w:fill="F2F2F2" w:themeFill="background1" w:themeFillShade="F2"/>
          </w:tcPr>
          <w:p w14:paraId="45C57B52" w14:textId="0E2A2435" w:rsidR="00AD087A" w:rsidRPr="00F66630" w:rsidRDefault="00AD087A" w:rsidP="00AD087A">
            <w:pPr>
              <w:spacing w:after="120"/>
              <w:rPr>
                <w:rFonts w:ascii="Times New Roman" w:hAnsi="Times New Roman" w:cs="Times New Roman"/>
                <w:i/>
                <w:color w:val="C00000"/>
                <w:sz w:val="23"/>
                <w:szCs w:val="23"/>
              </w:rPr>
            </w:pPr>
            <w:r w:rsidRPr="00F66630">
              <w:rPr>
                <w:rFonts w:ascii="Times New Roman" w:hAnsi="Times New Roman" w:cs="Times New Roman"/>
                <w:bCs/>
                <w:i/>
                <w:color w:val="C00000"/>
                <w:sz w:val="23"/>
                <w:szCs w:val="23"/>
              </w:rPr>
              <w:t>$2m per state</w:t>
            </w:r>
          </w:p>
        </w:tc>
        <w:tc>
          <w:tcPr>
            <w:tcW w:w="1035" w:type="pct"/>
            <w:shd w:val="clear" w:color="auto" w:fill="F2F2F2" w:themeFill="background1" w:themeFillShade="F2"/>
          </w:tcPr>
          <w:p w14:paraId="4418CFA2" w14:textId="1C65302F" w:rsidR="00AD087A" w:rsidRPr="00F66630" w:rsidRDefault="00AD087A" w:rsidP="00AD087A">
            <w:pPr>
              <w:spacing w:after="120"/>
              <w:rPr>
                <w:rFonts w:ascii="Times New Roman" w:hAnsi="Times New Roman" w:cs="Times New Roman"/>
                <w:i/>
                <w:color w:val="C00000"/>
                <w:sz w:val="23"/>
                <w:szCs w:val="23"/>
              </w:rPr>
            </w:pPr>
            <w:r w:rsidRPr="00F66630">
              <w:rPr>
                <w:rFonts w:ascii="Times New Roman" w:hAnsi="Times New Roman" w:cs="Times New Roman"/>
                <w:bCs/>
                <w:i/>
                <w:color w:val="C00000"/>
                <w:sz w:val="23"/>
                <w:szCs w:val="23"/>
              </w:rPr>
              <w:t>$2m per state</w:t>
            </w:r>
          </w:p>
        </w:tc>
        <w:tc>
          <w:tcPr>
            <w:tcW w:w="1031" w:type="pct"/>
            <w:shd w:val="clear" w:color="auto" w:fill="F2F2F2" w:themeFill="background1" w:themeFillShade="F2"/>
          </w:tcPr>
          <w:p w14:paraId="06E24156" w14:textId="185C5CE5" w:rsidR="00AD087A" w:rsidRPr="00F66630" w:rsidRDefault="00905AD7" w:rsidP="00AD087A">
            <w:pPr>
              <w:spacing w:after="120"/>
              <w:rPr>
                <w:rFonts w:ascii="Times New Roman" w:hAnsi="Times New Roman" w:cs="Times New Roman"/>
                <w:i/>
                <w:color w:val="C00000"/>
                <w:sz w:val="23"/>
                <w:szCs w:val="23"/>
              </w:rPr>
            </w:pPr>
            <w:r w:rsidRPr="00F66630">
              <w:rPr>
                <w:rFonts w:ascii="Times New Roman" w:hAnsi="Times New Roman" w:cs="Times New Roman"/>
                <w:bCs/>
                <w:i/>
                <w:color w:val="C00000"/>
                <w:sz w:val="23"/>
                <w:szCs w:val="23"/>
              </w:rPr>
              <w:t>$2m per state</w:t>
            </w:r>
          </w:p>
        </w:tc>
      </w:tr>
      <w:tr w:rsidR="00022C94" w:rsidRPr="00F66630" w14:paraId="2722DCF9" w14:textId="77777777" w:rsidTr="00B90892">
        <w:trPr>
          <w:trHeight w:val="377"/>
        </w:trPr>
        <w:tc>
          <w:tcPr>
            <w:tcW w:w="866" w:type="pct"/>
            <w:shd w:val="clear" w:color="auto" w:fill="F2F2F2" w:themeFill="background1" w:themeFillShade="F2"/>
            <w:vAlign w:val="center"/>
          </w:tcPr>
          <w:p w14:paraId="31FD98A3" w14:textId="1C016473"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4.2 Basic value</w:t>
            </w:r>
          </w:p>
        </w:tc>
        <w:tc>
          <w:tcPr>
            <w:tcW w:w="1034" w:type="pct"/>
            <w:shd w:val="clear" w:color="auto" w:fill="F2F2F2" w:themeFill="background1" w:themeFillShade="F2"/>
            <w:vAlign w:val="center"/>
          </w:tcPr>
          <w:p w14:paraId="78061EB0" w14:textId="417B00EB"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4" w:type="pct"/>
            <w:shd w:val="clear" w:color="auto" w:fill="F2F2F2" w:themeFill="background1" w:themeFillShade="F2"/>
            <w:vAlign w:val="center"/>
          </w:tcPr>
          <w:p w14:paraId="1DD42BC4" w14:textId="54653027"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5" w:type="pct"/>
            <w:shd w:val="clear" w:color="auto" w:fill="F2F2F2" w:themeFill="background1" w:themeFillShade="F2"/>
            <w:vAlign w:val="center"/>
          </w:tcPr>
          <w:p w14:paraId="6F9FD258" w14:textId="2A6477DD" w:rsidR="00022C94" w:rsidRPr="00F66630" w:rsidRDefault="00AE5BFF"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N/A</w:t>
            </w:r>
          </w:p>
        </w:tc>
        <w:tc>
          <w:tcPr>
            <w:tcW w:w="1031" w:type="pct"/>
            <w:shd w:val="clear" w:color="auto" w:fill="F2F2F2" w:themeFill="background1" w:themeFillShade="F2"/>
            <w:vAlign w:val="center"/>
          </w:tcPr>
          <w:p w14:paraId="6155797F" w14:textId="035246B7"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r>
      <w:tr w:rsidR="00022C94" w:rsidRPr="00F66630" w14:paraId="4F14B323" w14:textId="77777777" w:rsidTr="00B90892">
        <w:trPr>
          <w:trHeight w:val="440"/>
        </w:trPr>
        <w:tc>
          <w:tcPr>
            <w:tcW w:w="866" w:type="pct"/>
            <w:shd w:val="clear" w:color="auto" w:fill="F2F2F2" w:themeFill="background1" w:themeFillShade="F2"/>
            <w:vAlign w:val="center"/>
          </w:tcPr>
          <w:p w14:paraId="7F83FC24" w14:textId="534C75C4" w:rsidR="00022C94" w:rsidRPr="00F66630" w:rsidRDefault="00022C94" w:rsidP="00022C94">
            <w:pPr>
              <w:pStyle w:val="ListParagraph"/>
              <w:ind w:left="0"/>
              <w:rPr>
                <w:rFonts w:ascii="Times New Roman" w:hAnsi="Times New Roman" w:cs="Times New Roman"/>
                <w:i/>
                <w:color w:val="C00000"/>
              </w:rPr>
            </w:pPr>
            <w:r w:rsidRPr="00F66630">
              <w:rPr>
                <w:rFonts w:ascii="Times New Roman" w:hAnsi="Times New Roman" w:cs="Times New Roman"/>
                <w:i/>
                <w:color w:val="C00000"/>
              </w:rPr>
              <w:t>DLR 4.2 Stretch value</w:t>
            </w:r>
          </w:p>
        </w:tc>
        <w:tc>
          <w:tcPr>
            <w:tcW w:w="1034" w:type="pct"/>
            <w:shd w:val="clear" w:color="auto" w:fill="F2F2F2" w:themeFill="background1" w:themeFillShade="F2"/>
            <w:vAlign w:val="center"/>
          </w:tcPr>
          <w:p w14:paraId="54A3E4DB" w14:textId="00BFA085"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c>
          <w:tcPr>
            <w:tcW w:w="1034" w:type="pct"/>
            <w:shd w:val="clear" w:color="auto" w:fill="F2F2F2" w:themeFill="background1" w:themeFillShade="F2"/>
            <w:vAlign w:val="center"/>
          </w:tcPr>
          <w:p w14:paraId="2E8F834C" w14:textId="3B525786"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c>
          <w:tcPr>
            <w:tcW w:w="1035" w:type="pct"/>
            <w:shd w:val="clear" w:color="auto" w:fill="F2F2F2" w:themeFill="background1" w:themeFillShade="F2"/>
            <w:vAlign w:val="center"/>
          </w:tcPr>
          <w:p w14:paraId="52ACB700" w14:textId="21D37367"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c>
          <w:tcPr>
            <w:tcW w:w="1031" w:type="pct"/>
            <w:shd w:val="clear" w:color="auto" w:fill="F2F2F2" w:themeFill="background1" w:themeFillShade="F2"/>
            <w:vAlign w:val="center"/>
          </w:tcPr>
          <w:p w14:paraId="46F56446" w14:textId="1B8D6EC7" w:rsidR="00022C94" w:rsidRPr="00F66630" w:rsidRDefault="00022C94" w:rsidP="00022C94">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r>
      <w:tr w:rsidR="006A6E6D" w:rsidRPr="00F66630" w:rsidDel="0024341A" w14:paraId="694B2CB0" w14:textId="77777777" w:rsidTr="000D581A">
        <w:trPr>
          <w:trHeight w:val="521"/>
        </w:trPr>
        <w:tc>
          <w:tcPr>
            <w:tcW w:w="866" w:type="pct"/>
            <w:shd w:val="clear" w:color="auto" w:fill="FFFFFF" w:themeFill="background1"/>
          </w:tcPr>
          <w:p w14:paraId="68291A28" w14:textId="21590FA7" w:rsidR="006A6E6D" w:rsidRPr="00F66630" w:rsidRDefault="006A6E6D" w:rsidP="00832905">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t>DLI 5: Biometric registration and bank verification number (BVN) used to reduce payroll fraud</w:t>
            </w:r>
          </w:p>
        </w:tc>
        <w:tc>
          <w:tcPr>
            <w:tcW w:w="1034" w:type="pct"/>
            <w:shd w:val="clear" w:color="auto" w:fill="FFFFFF" w:themeFill="background1"/>
          </w:tcPr>
          <w:p w14:paraId="611CA10F"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5.1 Biometric capture of at least 60 percent of current civil servants completed and linked to payroll, and identified ghost workers taken off the payroll </w:t>
            </w:r>
          </w:p>
          <w:p w14:paraId="306A71FE" w14:textId="77777777" w:rsidR="006A6E6D" w:rsidRPr="00F66630" w:rsidRDefault="006A6E6D" w:rsidP="00832905">
            <w:pPr>
              <w:rPr>
                <w:rFonts w:ascii="Times New Roman" w:hAnsi="Times New Roman" w:cs="Times New Roman"/>
                <w:sz w:val="23"/>
                <w:szCs w:val="23"/>
              </w:rPr>
            </w:pPr>
          </w:p>
          <w:p w14:paraId="7EA3F396"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5.2 Link BVN data to at least 60 percent of current civil servants on the payroll and payroll fraud addressed</w:t>
            </w:r>
          </w:p>
        </w:tc>
        <w:tc>
          <w:tcPr>
            <w:tcW w:w="1034" w:type="pct"/>
            <w:shd w:val="clear" w:color="auto" w:fill="FFFFFF" w:themeFill="background1"/>
          </w:tcPr>
          <w:p w14:paraId="72C4CB48"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5.1 Biometric capture of at least 75 percent of current civil servants and pensioners completed and linked to payroll, and identified ghost workers taken off the payroll </w:t>
            </w:r>
          </w:p>
          <w:p w14:paraId="02B78ADC" w14:textId="77777777" w:rsidR="006A6E6D" w:rsidRPr="00F66630" w:rsidRDefault="006A6E6D" w:rsidP="00832905">
            <w:pPr>
              <w:rPr>
                <w:rFonts w:ascii="Times New Roman" w:hAnsi="Times New Roman" w:cs="Times New Roman"/>
                <w:sz w:val="23"/>
                <w:szCs w:val="23"/>
              </w:rPr>
            </w:pPr>
          </w:p>
          <w:p w14:paraId="5656DD95"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5.2 Link BVN data to at least 75 percent of current civil servants and pensioners on the payroll and payroll fraud addressed</w:t>
            </w:r>
          </w:p>
        </w:tc>
        <w:tc>
          <w:tcPr>
            <w:tcW w:w="1035" w:type="pct"/>
            <w:shd w:val="clear" w:color="auto" w:fill="FFFFFF" w:themeFill="background1"/>
          </w:tcPr>
          <w:p w14:paraId="5D7F77CB"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5.1 Biometric capture of at least 90 percent of current civil servants and pensioners completed and linked to payroll, and identified ghost workers taken off the payroll </w:t>
            </w:r>
          </w:p>
          <w:p w14:paraId="7E238F58" w14:textId="77777777" w:rsidR="006A6E6D" w:rsidRPr="00F66630" w:rsidRDefault="006A6E6D" w:rsidP="00832905">
            <w:pPr>
              <w:rPr>
                <w:rFonts w:ascii="Times New Roman" w:hAnsi="Times New Roman" w:cs="Times New Roman"/>
                <w:sz w:val="23"/>
                <w:szCs w:val="23"/>
              </w:rPr>
            </w:pPr>
          </w:p>
          <w:p w14:paraId="353F12B0" w14:textId="77777777"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5.2 Link BVN data to at least 90 percent of current civil servants and pensioners on the payroll and payroll fraud addressed </w:t>
            </w:r>
          </w:p>
        </w:tc>
        <w:tc>
          <w:tcPr>
            <w:tcW w:w="1031" w:type="pct"/>
            <w:shd w:val="clear" w:color="auto" w:fill="auto"/>
          </w:tcPr>
          <w:p w14:paraId="4FBCBD2F" w14:textId="6BE1AF96" w:rsidR="006A6E6D" w:rsidRPr="00F66630"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5.1 Biometric capture of at least </w:t>
            </w:r>
            <w:r w:rsidR="00D3237F" w:rsidRPr="00F66630">
              <w:rPr>
                <w:rFonts w:ascii="Times New Roman" w:hAnsi="Times New Roman" w:cs="Times New Roman"/>
                <w:sz w:val="23"/>
                <w:szCs w:val="23"/>
              </w:rPr>
              <w:t>95</w:t>
            </w:r>
            <w:r w:rsidRPr="00F66630">
              <w:rPr>
                <w:rFonts w:ascii="Times New Roman" w:hAnsi="Times New Roman" w:cs="Times New Roman"/>
                <w:sz w:val="23"/>
                <w:szCs w:val="23"/>
              </w:rPr>
              <w:t xml:space="preserve"> percent of current civil servants and pensioners completed and linked to payroll, and identified ghost workers taken off the payroll </w:t>
            </w:r>
          </w:p>
          <w:p w14:paraId="16B28659" w14:textId="77777777" w:rsidR="006A6E6D" w:rsidRPr="00F66630" w:rsidRDefault="006A6E6D" w:rsidP="00832905">
            <w:pPr>
              <w:rPr>
                <w:rFonts w:ascii="Times New Roman" w:hAnsi="Times New Roman" w:cs="Times New Roman"/>
                <w:sz w:val="23"/>
                <w:szCs w:val="23"/>
              </w:rPr>
            </w:pPr>
          </w:p>
          <w:p w14:paraId="6C99F4A4" w14:textId="52ACCF66" w:rsidR="006A6E6D" w:rsidRPr="00F66630" w:rsidDel="0024341A" w:rsidRDefault="006A6E6D" w:rsidP="00832905">
            <w:pPr>
              <w:rPr>
                <w:rFonts w:ascii="Times New Roman" w:hAnsi="Times New Roman" w:cs="Times New Roman"/>
                <w:sz w:val="23"/>
                <w:szCs w:val="23"/>
              </w:rPr>
            </w:pPr>
            <w:r w:rsidRPr="00F66630">
              <w:rPr>
                <w:rFonts w:ascii="Times New Roman" w:hAnsi="Times New Roman" w:cs="Times New Roman"/>
                <w:sz w:val="23"/>
                <w:szCs w:val="23"/>
              </w:rPr>
              <w:t xml:space="preserve">5.2 Link BVN data to at least </w:t>
            </w:r>
            <w:r w:rsidR="00D3237F" w:rsidRPr="00F66630">
              <w:rPr>
                <w:rFonts w:ascii="Times New Roman" w:hAnsi="Times New Roman" w:cs="Times New Roman"/>
                <w:sz w:val="23"/>
                <w:szCs w:val="23"/>
              </w:rPr>
              <w:t>95</w:t>
            </w:r>
            <w:r w:rsidRPr="00F66630">
              <w:rPr>
                <w:rFonts w:ascii="Times New Roman" w:hAnsi="Times New Roman" w:cs="Times New Roman"/>
                <w:sz w:val="23"/>
                <w:szCs w:val="23"/>
              </w:rPr>
              <w:t xml:space="preserve"> percent of current civil servants and pensioners on the payroll and payroll fraud addressed</w:t>
            </w:r>
          </w:p>
        </w:tc>
      </w:tr>
      <w:tr w:rsidR="006A6E6D" w:rsidRPr="00F66630" w14:paraId="05A6F9FB" w14:textId="77777777" w:rsidTr="00452A4F">
        <w:trPr>
          <w:trHeight w:val="251"/>
        </w:trPr>
        <w:tc>
          <w:tcPr>
            <w:tcW w:w="866" w:type="pct"/>
            <w:shd w:val="clear" w:color="auto" w:fill="FFFFFF" w:themeFill="background1"/>
          </w:tcPr>
          <w:p w14:paraId="09F4FBEB" w14:textId="1AA1B54B" w:rsidR="006A6E6D" w:rsidRPr="00F66630" w:rsidRDefault="00022C94" w:rsidP="00791A97">
            <w:pPr>
              <w:pStyle w:val="ListParagraph"/>
              <w:ind w:left="0"/>
              <w:rPr>
                <w:rFonts w:ascii="Times New Roman" w:hAnsi="Times New Roman" w:cs="Times New Roman"/>
                <w:i/>
                <w:color w:val="C00000"/>
                <w:sz w:val="23"/>
                <w:szCs w:val="23"/>
              </w:rPr>
            </w:pPr>
            <w:bookmarkStart w:id="8" w:name="_Hlk509773894"/>
            <w:r w:rsidRPr="00F66630">
              <w:rPr>
                <w:rFonts w:ascii="Times New Roman" w:hAnsi="Times New Roman" w:cs="Times New Roman"/>
                <w:i/>
                <w:color w:val="C00000"/>
                <w:sz w:val="23"/>
                <w:szCs w:val="23"/>
              </w:rPr>
              <w:t>DLR</w:t>
            </w:r>
            <w:r w:rsidR="006A6E6D" w:rsidRPr="00F66630">
              <w:rPr>
                <w:rFonts w:ascii="Times New Roman" w:hAnsi="Times New Roman" w:cs="Times New Roman"/>
                <w:i/>
                <w:color w:val="C00000"/>
                <w:sz w:val="23"/>
                <w:szCs w:val="23"/>
              </w:rPr>
              <w:t xml:space="preserve"> 5.1 value</w:t>
            </w:r>
          </w:p>
        </w:tc>
        <w:tc>
          <w:tcPr>
            <w:tcW w:w="1034" w:type="pct"/>
            <w:shd w:val="clear" w:color="auto" w:fill="FFFFFF" w:themeFill="background1"/>
          </w:tcPr>
          <w:p w14:paraId="2794A544" w14:textId="59CF6ADA"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$0.5m</w:t>
            </w:r>
          </w:p>
        </w:tc>
        <w:tc>
          <w:tcPr>
            <w:tcW w:w="1034" w:type="pct"/>
            <w:shd w:val="clear" w:color="auto" w:fill="FFFFFF" w:themeFill="background1"/>
          </w:tcPr>
          <w:p w14:paraId="0C94DCC0" w14:textId="3A5FF973"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$0.5m</w:t>
            </w:r>
          </w:p>
        </w:tc>
        <w:tc>
          <w:tcPr>
            <w:tcW w:w="1035" w:type="pct"/>
            <w:shd w:val="clear" w:color="auto" w:fill="FFFFFF" w:themeFill="background1"/>
          </w:tcPr>
          <w:p w14:paraId="45E56A52" w14:textId="116FEBE1"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$0.75m</w:t>
            </w:r>
          </w:p>
        </w:tc>
        <w:tc>
          <w:tcPr>
            <w:tcW w:w="1031" w:type="pct"/>
            <w:shd w:val="clear" w:color="auto" w:fill="FFFFFF" w:themeFill="background1"/>
          </w:tcPr>
          <w:p w14:paraId="0D2CAAF4" w14:textId="0080B9C9"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$0.75m</w:t>
            </w:r>
          </w:p>
        </w:tc>
      </w:tr>
      <w:tr w:rsidR="006A6E6D" w:rsidRPr="00F66630" w14:paraId="367BBF5F" w14:textId="77777777" w:rsidTr="00452A4F">
        <w:trPr>
          <w:trHeight w:val="332"/>
        </w:trPr>
        <w:tc>
          <w:tcPr>
            <w:tcW w:w="866" w:type="pct"/>
            <w:shd w:val="clear" w:color="auto" w:fill="FFFFFF" w:themeFill="background1"/>
          </w:tcPr>
          <w:p w14:paraId="71D0D385" w14:textId="24A92AFC" w:rsidR="006A6E6D" w:rsidRPr="00F66630" w:rsidRDefault="00022C94" w:rsidP="00791A97">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w:t>
            </w:r>
            <w:r w:rsidR="006A6E6D" w:rsidRPr="00F66630">
              <w:rPr>
                <w:rFonts w:ascii="Times New Roman" w:hAnsi="Times New Roman" w:cs="Times New Roman"/>
                <w:i/>
                <w:color w:val="C00000"/>
                <w:sz w:val="23"/>
                <w:szCs w:val="23"/>
              </w:rPr>
              <w:t xml:space="preserve"> 5.2 value</w:t>
            </w:r>
          </w:p>
        </w:tc>
        <w:tc>
          <w:tcPr>
            <w:tcW w:w="1034" w:type="pct"/>
            <w:shd w:val="clear" w:color="auto" w:fill="FFFFFF" w:themeFill="background1"/>
          </w:tcPr>
          <w:p w14:paraId="257199B3" w14:textId="795D3FD3"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$0.5m</w:t>
            </w:r>
          </w:p>
        </w:tc>
        <w:tc>
          <w:tcPr>
            <w:tcW w:w="1034" w:type="pct"/>
            <w:shd w:val="clear" w:color="auto" w:fill="FFFFFF" w:themeFill="background1"/>
          </w:tcPr>
          <w:p w14:paraId="12222240" w14:textId="6300C556"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$0.5m</w:t>
            </w:r>
          </w:p>
        </w:tc>
        <w:tc>
          <w:tcPr>
            <w:tcW w:w="1035" w:type="pct"/>
            <w:shd w:val="clear" w:color="auto" w:fill="FFFFFF" w:themeFill="background1"/>
          </w:tcPr>
          <w:p w14:paraId="4288A9E5" w14:textId="6A39F18C"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$0.75m</w:t>
            </w:r>
          </w:p>
        </w:tc>
        <w:tc>
          <w:tcPr>
            <w:tcW w:w="1031" w:type="pct"/>
            <w:shd w:val="clear" w:color="auto" w:fill="FFFFFF" w:themeFill="background1"/>
          </w:tcPr>
          <w:p w14:paraId="0FEA9C52" w14:textId="4766DCFE" w:rsidR="006A6E6D" w:rsidRPr="00F66630" w:rsidRDefault="006A6E6D" w:rsidP="00791A97">
            <w:pPr>
              <w:spacing w:after="120"/>
              <w:rPr>
                <w:rFonts w:ascii="Times New Roman" w:hAnsi="Times New Roman" w:cs="Times New Roman"/>
                <w:i/>
                <w:sz w:val="23"/>
                <w:szCs w:val="23"/>
              </w:rPr>
            </w:pPr>
            <w:r w:rsidRPr="00F66630">
              <w:rPr>
                <w:rFonts w:ascii="Times New Roman" w:hAnsi="Times New Roman" w:cs="Times New Roman"/>
                <w:i/>
                <w:color w:val="C00000"/>
                <w:sz w:val="23"/>
                <w:szCs w:val="23"/>
              </w:rPr>
              <w:t xml:space="preserve">Per State </w:t>
            </w:r>
            <w:r w:rsidRPr="00F66630">
              <w:rPr>
                <w:rFonts w:ascii="Times New Roman" w:hAnsi="Times New Roman" w:cs="Times New Roman"/>
                <w:bCs/>
                <w:i/>
                <w:color w:val="C00000"/>
                <w:sz w:val="23"/>
                <w:szCs w:val="23"/>
              </w:rPr>
              <w:t>$0.75m</w:t>
            </w:r>
          </w:p>
        </w:tc>
      </w:tr>
      <w:bookmarkEnd w:id="8"/>
      <w:tr w:rsidR="003967CA" w:rsidRPr="00F66630" w:rsidDel="0024341A" w14:paraId="0BF0E5AE" w14:textId="77777777" w:rsidTr="003967CA">
        <w:trPr>
          <w:trHeight w:val="1151"/>
        </w:trPr>
        <w:tc>
          <w:tcPr>
            <w:tcW w:w="866" w:type="pct"/>
            <w:vMerge w:val="restart"/>
            <w:shd w:val="clear" w:color="auto" w:fill="F2F2F2" w:themeFill="background1" w:themeFillShade="F2"/>
          </w:tcPr>
          <w:p w14:paraId="7C9DB29C" w14:textId="77777777" w:rsidR="003967CA" w:rsidRPr="00F66630" w:rsidRDefault="003967CA" w:rsidP="00EE6AC0">
            <w:pPr>
              <w:pStyle w:val="ListParagraph"/>
              <w:ind w:left="0"/>
              <w:rPr>
                <w:rFonts w:ascii="Times New Roman" w:hAnsi="Times New Roman" w:cs="Times New Roman"/>
                <w:b/>
                <w:sz w:val="24"/>
                <w:szCs w:val="24"/>
              </w:rPr>
            </w:pPr>
            <w:r w:rsidRPr="00F66630">
              <w:rPr>
                <w:rFonts w:ascii="Times New Roman" w:eastAsia="Calibri" w:hAnsi="Times New Roman" w:cs="Times New Roman"/>
                <w:b/>
                <w:sz w:val="24"/>
                <w:szCs w:val="24"/>
              </w:rPr>
              <w:lastRenderedPageBreak/>
              <w:t xml:space="preserve">DLI 6: Improved procurement practices for increased transparency and value for money </w:t>
            </w:r>
          </w:p>
        </w:tc>
        <w:tc>
          <w:tcPr>
            <w:tcW w:w="4134" w:type="pct"/>
            <w:gridSpan w:val="4"/>
            <w:shd w:val="clear" w:color="auto" w:fill="F2F2F2" w:themeFill="background1" w:themeFillShade="F2"/>
          </w:tcPr>
          <w:p w14:paraId="0E7A7BED" w14:textId="5060C066" w:rsidR="003967CA" w:rsidRPr="00F66630" w:rsidDel="0024341A" w:rsidRDefault="003967CA" w:rsidP="00EE6AC0">
            <w:pPr>
              <w:spacing w:after="120"/>
              <w:rPr>
                <w:rFonts w:ascii="Times New Roman" w:eastAsia="Calibri" w:hAnsi="Times New Roman" w:cs="Times New Roman"/>
                <w:sz w:val="23"/>
                <w:szCs w:val="23"/>
              </w:rPr>
            </w:pPr>
            <w:r w:rsidRPr="00F66630">
              <w:rPr>
                <w:rFonts w:ascii="Times New Roman" w:eastAsia="Calibri" w:hAnsi="Times New Roman" w:cs="Times New Roman"/>
                <w:sz w:val="23"/>
                <w:szCs w:val="23"/>
              </w:rPr>
              <w:t xml:space="preserve">6.1 Existence of a public procurement legal framework and procurement regulatory agency. Said legal framework should conform with the UNCITRAL Model Law and provide for: 1) eProcurement; 2) establishment of an independent procurement regulatory agency and 3) cover all MDAs receiving funds from the state budget. </w:t>
            </w:r>
            <w:r w:rsidRPr="00F66630">
              <w:rPr>
                <w:rFonts w:ascii="Times New Roman" w:eastAsia="Calibri" w:hAnsi="Times New Roman" w:cs="Times New Roman"/>
                <w:i/>
                <w:sz w:val="23"/>
                <w:szCs w:val="23"/>
              </w:rPr>
              <w:t xml:space="preserve">(one-time payment for year in which DLR is first achieved, up to </w:t>
            </w:r>
            <w:r w:rsidR="00050A0E" w:rsidRPr="00F66630">
              <w:rPr>
                <w:rFonts w:ascii="Times New Roman" w:hAnsi="Times New Roman"/>
                <w:i/>
                <w:sz w:val="23"/>
                <w:szCs w:val="23"/>
              </w:rPr>
              <w:t>end of 2021</w:t>
            </w:r>
            <w:r w:rsidRPr="00F66630">
              <w:rPr>
                <w:rFonts w:ascii="Times New Roman" w:eastAsia="Calibri" w:hAnsi="Times New Roman" w:cs="Times New Roman"/>
                <w:i/>
                <w:sz w:val="23"/>
                <w:szCs w:val="23"/>
              </w:rPr>
              <w:t>)</w:t>
            </w:r>
            <w:r w:rsidRPr="00F66630" w:rsidDel="00A7790D">
              <w:rPr>
                <w:rFonts w:ascii="Times New Roman" w:eastAsia="Calibri" w:hAnsi="Times New Roman" w:cs="Times New Roman"/>
                <w:sz w:val="23"/>
                <w:szCs w:val="23"/>
              </w:rPr>
              <w:t xml:space="preserve"> </w:t>
            </w:r>
          </w:p>
        </w:tc>
      </w:tr>
      <w:tr w:rsidR="00B04505" w:rsidRPr="00F66630" w:rsidDel="0024341A" w14:paraId="35335954" w14:textId="77777777" w:rsidTr="00CF60FF">
        <w:trPr>
          <w:trHeight w:val="728"/>
        </w:trPr>
        <w:tc>
          <w:tcPr>
            <w:tcW w:w="866" w:type="pct"/>
            <w:vMerge/>
            <w:shd w:val="clear" w:color="auto" w:fill="F2F2F2" w:themeFill="background1" w:themeFillShade="F2"/>
          </w:tcPr>
          <w:p w14:paraId="33A7E8A1" w14:textId="77777777" w:rsidR="00B04505" w:rsidRPr="00F66630" w:rsidRDefault="00B04505" w:rsidP="00B04505">
            <w:pPr>
              <w:pStyle w:val="ListParagraph"/>
              <w:ind w:left="0"/>
              <w:rPr>
                <w:rFonts w:ascii="Times New Roman" w:hAnsi="Times New Roman" w:cs="Times New Roman"/>
                <w:b/>
                <w:sz w:val="24"/>
                <w:szCs w:val="24"/>
              </w:rPr>
            </w:pPr>
          </w:p>
        </w:tc>
        <w:tc>
          <w:tcPr>
            <w:tcW w:w="1034" w:type="pct"/>
            <w:shd w:val="clear" w:color="auto" w:fill="F2F2F2" w:themeFill="background1" w:themeFillShade="F2"/>
          </w:tcPr>
          <w:p w14:paraId="4B94269A" w14:textId="77777777" w:rsidR="00B04505" w:rsidRPr="00F66630" w:rsidRDefault="00B04505" w:rsidP="00B04505">
            <w:pPr>
              <w:spacing w:after="120"/>
              <w:rPr>
                <w:rFonts w:ascii="Times New Roman" w:hAnsi="Times New Roman" w:cs="Times New Roman"/>
                <w:sz w:val="23"/>
                <w:szCs w:val="23"/>
              </w:rPr>
            </w:pPr>
            <w:r w:rsidRPr="00F66630">
              <w:rPr>
                <w:rFonts w:ascii="Times New Roman" w:eastAsia="Calibri" w:hAnsi="Times New Roman" w:cs="Times New Roman"/>
                <w:sz w:val="23"/>
                <w:szCs w:val="23"/>
              </w:rPr>
              <w:t xml:space="preserve">6.2 </w:t>
            </w:r>
            <w:r w:rsidRPr="00F66630">
              <w:rPr>
                <w:rFonts w:ascii="Times New Roman" w:hAnsi="Times New Roman" w:cs="Times New Roman"/>
                <w:sz w:val="23"/>
                <w:szCs w:val="23"/>
              </w:rPr>
              <w:t xml:space="preserve">Publish contract award information above a threshold set out in the Operations Manual for 2018 </w:t>
            </w:r>
            <w:proofErr w:type="gramStart"/>
            <w:r w:rsidRPr="00F66630">
              <w:rPr>
                <w:rFonts w:ascii="Times New Roman" w:hAnsi="Times New Roman" w:cs="Times New Roman"/>
                <w:sz w:val="23"/>
                <w:szCs w:val="23"/>
              </w:rPr>
              <w:t>on a monthly basis</w:t>
            </w:r>
            <w:proofErr w:type="gramEnd"/>
            <w:r w:rsidRPr="00F66630">
              <w:rPr>
                <w:rFonts w:ascii="Times New Roman" w:hAnsi="Times New Roman" w:cs="Times New Roman"/>
                <w:sz w:val="23"/>
                <w:szCs w:val="23"/>
              </w:rPr>
              <w:t xml:space="preserve"> in OCDS format on the state website</w:t>
            </w:r>
          </w:p>
        </w:tc>
        <w:tc>
          <w:tcPr>
            <w:tcW w:w="1034" w:type="pct"/>
            <w:shd w:val="clear" w:color="auto" w:fill="F2F2F2" w:themeFill="background1" w:themeFillShade="F2"/>
          </w:tcPr>
          <w:p w14:paraId="0D99D20B" w14:textId="77777777" w:rsidR="00B04505" w:rsidRPr="00F66630" w:rsidRDefault="00B04505" w:rsidP="00B04505">
            <w:pPr>
              <w:rPr>
                <w:rFonts w:ascii="Times New Roman" w:eastAsia="Calibri" w:hAnsi="Times New Roman" w:cs="Times New Roman"/>
                <w:sz w:val="23"/>
                <w:szCs w:val="23"/>
              </w:rPr>
            </w:pPr>
            <w:r w:rsidRPr="00F66630">
              <w:rPr>
                <w:rFonts w:ascii="Times New Roman" w:eastAsia="Calibri" w:hAnsi="Times New Roman" w:cs="Times New Roman"/>
                <w:sz w:val="23"/>
                <w:szCs w:val="23"/>
              </w:rPr>
              <w:t xml:space="preserve">6.2 </w:t>
            </w:r>
            <w:r w:rsidRPr="00F66630">
              <w:rPr>
                <w:rFonts w:ascii="Times New Roman" w:hAnsi="Times New Roman" w:cs="Times New Roman"/>
                <w:sz w:val="23"/>
                <w:szCs w:val="23"/>
              </w:rPr>
              <w:t xml:space="preserve">Publish contract award information above a threshold set out in the Operations Manual for 2019 </w:t>
            </w:r>
            <w:proofErr w:type="gramStart"/>
            <w:r w:rsidRPr="00F66630">
              <w:rPr>
                <w:rFonts w:ascii="Times New Roman" w:hAnsi="Times New Roman" w:cs="Times New Roman"/>
                <w:sz w:val="23"/>
                <w:szCs w:val="23"/>
              </w:rPr>
              <w:t>on a monthly basis</w:t>
            </w:r>
            <w:proofErr w:type="gramEnd"/>
            <w:r w:rsidRPr="00F66630">
              <w:rPr>
                <w:rFonts w:ascii="Times New Roman" w:hAnsi="Times New Roman" w:cs="Times New Roman"/>
                <w:sz w:val="23"/>
                <w:szCs w:val="23"/>
              </w:rPr>
              <w:t xml:space="preserve"> in OCDS format on the online portal</w:t>
            </w:r>
            <w:r w:rsidRPr="00F66630" w:rsidDel="00E054DC">
              <w:rPr>
                <w:rFonts w:ascii="Times New Roman" w:hAnsi="Times New Roman" w:cs="Times New Roman"/>
                <w:sz w:val="23"/>
                <w:szCs w:val="23"/>
              </w:rPr>
              <w:t xml:space="preserve"> </w:t>
            </w:r>
          </w:p>
          <w:p w14:paraId="611B9948" w14:textId="77777777" w:rsidR="00B04505" w:rsidRPr="00F66630" w:rsidRDefault="00B04505" w:rsidP="00B04505">
            <w:pPr>
              <w:rPr>
                <w:rFonts w:ascii="Times New Roman" w:eastAsia="Calibri" w:hAnsi="Times New Roman" w:cs="Times New Roman"/>
                <w:sz w:val="23"/>
                <w:szCs w:val="23"/>
              </w:rPr>
            </w:pPr>
          </w:p>
          <w:p w14:paraId="7B9E5975" w14:textId="736F9053" w:rsidR="00B04505" w:rsidRPr="00F66630" w:rsidRDefault="00B04505" w:rsidP="00B04505">
            <w:pPr>
              <w:rPr>
                <w:rFonts w:ascii="Times New Roman" w:eastAsia="Calibri" w:hAnsi="Times New Roman" w:cs="Times New Roman"/>
                <w:sz w:val="23"/>
                <w:szCs w:val="23"/>
              </w:rPr>
            </w:pPr>
          </w:p>
        </w:tc>
        <w:tc>
          <w:tcPr>
            <w:tcW w:w="1035" w:type="pct"/>
            <w:shd w:val="clear" w:color="auto" w:fill="F2F2F2" w:themeFill="background1" w:themeFillShade="F2"/>
          </w:tcPr>
          <w:p w14:paraId="107ED301" w14:textId="77777777" w:rsidR="009A79A6" w:rsidRPr="00F66630" w:rsidRDefault="001F5227" w:rsidP="00B04505">
            <w:pPr>
              <w:rPr>
                <w:rFonts w:ascii="Times New Roman" w:hAnsi="Times New Roman" w:cs="Times New Roman"/>
                <w:bCs/>
                <w:iCs/>
                <w:noProof/>
                <w:sz w:val="23"/>
                <w:szCs w:val="23"/>
              </w:rPr>
            </w:pPr>
            <w:r w:rsidRPr="00F66630">
              <w:rPr>
                <w:rFonts w:ascii="Times New Roman" w:hAnsi="Times New Roman" w:cs="Times New Roman"/>
                <w:bCs/>
                <w:iCs/>
                <w:noProof/>
                <w:sz w:val="23"/>
                <w:szCs w:val="23"/>
              </w:rPr>
              <w:t xml:space="preserve">6.2 </w:t>
            </w:r>
            <w:r w:rsidRPr="00F66630">
              <w:rPr>
                <w:rFonts w:ascii="Times New Roman" w:hAnsi="Times New Roman" w:cs="Times New Roman"/>
                <w:bCs/>
                <w:iCs/>
                <w:noProof/>
                <w:sz w:val="23"/>
                <w:szCs w:val="23"/>
                <w:u w:val="single"/>
              </w:rPr>
              <w:t>Basic Target:</w:t>
            </w:r>
            <w:r w:rsidRPr="00F66630">
              <w:rPr>
                <w:rFonts w:ascii="Times New Roman" w:hAnsi="Times New Roman" w:cs="Times New Roman"/>
                <w:bCs/>
                <w:iCs/>
                <w:noProof/>
                <w:sz w:val="23"/>
                <w:szCs w:val="23"/>
              </w:rPr>
              <w:t xml:space="preserve"> Framework contract for e-Procurement signed by 31 December 2020 AND Publish contract award information above a threshold set out in the State’s procurement law/regulation on a monthly basis in OCDS format on the state website or online portal if available. </w:t>
            </w:r>
          </w:p>
          <w:p w14:paraId="5BAA4FC8" w14:textId="08CAF582" w:rsidR="009A79A6" w:rsidRPr="00F66630" w:rsidRDefault="009A79A6" w:rsidP="00B04505">
            <w:pPr>
              <w:rPr>
                <w:rFonts w:ascii="Times New Roman" w:hAnsi="Times New Roman" w:cs="Times New Roman"/>
                <w:bCs/>
                <w:iCs/>
                <w:noProof/>
                <w:sz w:val="23"/>
                <w:szCs w:val="23"/>
              </w:rPr>
            </w:pPr>
          </w:p>
          <w:p w14:paraId="47F58886" w14:textId="77777777" w:rsidR="00207EF1" w:rsidRPr="00F66630" w:rsidRDefault="009A79A6" w:rsidP="00B04505">
            <w:pPr>
              <w:rPr>
                <w:rFonts w:ascii="Times New Roman" w:hAnsi="Times New Roman" w:cs="Times New Roman"/>
                <w:bCs/>
                <w:iCs/>
                <w:noProof/>
                <w:sz w:val="23"/>
                <w:szCs w:val="23"/>
              </w:rPr>
            </w:pPr>
            <w:r w:rsidRPr="00F66630">
              <w:rPr>
                <w:rFonts w:ascii="Times New Roman" w:hAnsi="Times New Roman" w:cs="Times New Roman"/>
                <w:bCs/>
                <w:iCs/>
                <w:noProof/>
                <w:sz w:val="23"/>
                <w:szCs w:val="23"/>
              </w:rPr>
              <w:t xml:space="preserve">6.2 </w:t>
            </w:r>
            <w:r w:rsidR="001F5227" w:rsidRPr="00F66630">
              <w:rPr>
                <w:rFonts w:ascii="Times New Roman" w:hAnsi="Times New Roman" w:cs="Times New Roman"/>
                <w:bCs/>
                <w:iCs/>
                <w:noProof/>
                <w:sz w:val="23"/>
                <w:szCs w:val="23"/>
                <w:u w:val="single"/>
              </w:rPr>
              <w:t>Stretch Target:</w:t>
            </w:r>
            <w:r w:rsidR="001F5227" w:rsidRPr="00F66630">
              <w:rPr>
                <w:rFonts w:ascii="Times New Roman" w:hAnsi="Times New Roman" w:cs="Times New Roman"/>
                <w:bCs/>
                <w:iCs/>
                <w:noProof/>
                <w:sz w:val="23"/>
                <w:szCs w:val="23"/>
              </w:rPr>
              <w:t xml:space="preserve"> Implement e-Procurement in at least 3 MDAs (incl. Education, Health and Public Works) and publish all contract award information in OCDS format on the online portal for the 3 MDAs </w:t>
            </w:r>
          </w:p>
          <w:p w14:paraId="258B8A2C" w14:textId="31836129" w:rsidR="00207EF1" w:rsidRPr="00F66630" w:rsidRDefault="001F5227" w:rsidP="00B04505">
            <w:pPr>
              <w:rPr>
                <w:rFonts w:ascii="Times New Roman" w:hAnsi="Times New Roman" w:cs="Times New Roman"/>
                <w:bCs/>
                <w:iCs/>
                <w:noProof/>
                <w:sz w:val="23"/>
                <w:szCs w:val="23"/>
              </w:rPr>
            </w:pPr>
            <w:r w:rsidRPr="00F66630">
              <w:rPr>
                <w:rFonts w:ascii="Times New Roman" w:hAnsi="Times New Roman" w:cs="Times New Roman"/>
                <w:bCs/>
                <w:iCs/>
                <w:noProof/>
                <w:sz w:val="23"/>
                <w:szCs w:val="23"/>
              </w:rPr>
              <w:t xml:space="preserve">AND </w:t>
            </w:r>
          </w:p>
          <w:p w14:paraId="2577D9ED" w14:textId="69AD949B" w:rsidR="00B04505" w:rsidRPr="00F66630" w:rsidRDefault="001F5227" w:rsidP="00B04505">
            <w:pPr>
              <w:rPr>
                <w:rFonts w:ascii="Times New Roman" w:hAnsi="Times New Roman" w:cs="Times New Roman"/>
                <w:sz w:val="23"/>
                <w:szCs w:val="23"/>
              </w:rPr>
            </w:pPr>
            <w:r w:rsidRPr="00F66630">
              <w:rPr>
                <w:rFonts w:ascii="Times New Roman" w:hAnsi="Times New Roman" w:cs="Times New Roman"/>
                <w:bCs/>
                <w:i/>
                <w:noProof/>
                <w:sz w:val="23"/>
                <w:szCs w:val="23"/>
              </w:rPr>
              <w:t>For those MDAs without e-procurement:</w:t>
            </w:r>
            <w:r w:rsidR="009A79A6" w:rsidRPr="00F66630">
              <w:rPr>
                <w:rFonts w:ascii="Times New Roman" w:hAnsi="Times New Roman" w:cs="Times New Roman"/>
                <w:bCs/>
                <w:iCs/>
                <w:noProof/>
                <w:sz w:val="23"/>
                <w:szCs w:val="23"/>
              </w:rPr>
              <w:t xml:space="preserve"> </w:t>
            </w:r>
            <w:r w:rsidRPr="00F66630">
              <w:rPr>
                <w:rFonts w:ascii="Times New Roman" w:hAnsi="Times New Roman" w:cs="Times New Roman"/>
                <w:bCs/>
                <w:iCs/>
                <w:noProof/>
                <w:sz w:val="23"/>
                <w:szCs w:val="23"/>
              </w:rPr>
              <w:t xml:space="preserve">Publish contract award information above a threshold set out </w:t>
            </w:r>
            <w:r w:rsidRPr="00F66630">
              <w:rPr>
                <w:rFonts w:ascii="Times New Roman" w:hAnsi="Times New Roman" w:cs="Times New Roman"/>
                <w:bCs/>
                <w:iCs/>
                <w:noProof/>
                <w:sz w:val="23"/>
                <w:szCs w:val="23"/>
              </w:rPr>
              <w:lastRenderedPageBreak/>
              <w:t>in the State’s procurement law/regulation on a monthly basis in OCDS format on the state website or online portal if available</w:t>
            </w:r>
          </w:p>
        </w:tc>
        <w:tc>
          <w:tcPr>
            <w:tcW w:w="1031" w:type="pct"/>
            <w:shd w:val="clear" w:color="auto" w:fill="F2F2F2" w:themeFill="background1" w:themeFillShade="F2"/>
          </w:tcPr>
          <w:p w14:paraId="6DDBC182" w14:textId="4C2A8F0D" w:rsidR="007B2E47" w:rsidRPr="00F66630" w:rsidRDefault="00B04505" w:rsidP="00B04505">
            <w:pPr>
              <w:rPr>
                <w:rFonts w:ascii="Times New Roman" w:eastAsia="Calibri" w:hAnsi="Times New Roman" w:cs="Times New Roman"/>
                <w:sz w:val="23"/>
                <w:szCs w:val="23"/>
              </w:rPr>
            </w:pPr>
            <w:r w:rsidRPr="00F66630">
              <w:rPr>
                <w:rFonts w:ascii="Times New Roman" w:eastAsia="Calibri" w:hAnsi="Times New Roman" w:cs="Times New Roman"/>
                <w:sz w:val="23"/>
                <w:szCs w:val="23"/>
              </w:rPr>
              <w:lastRenderedPageBreak/>
              <w:t xml:space="preserve">6.2 </w:t>
            </w:r>
            <w:r w:rsidR="006C4AC0" w:rsidRPr="00F66630">
              <w:rPr>
                <w:rFonts w:ascii="Times New Roman" w:eastAsia="Calibri" w:hAnsi="Times New Roman" w:cs="Times New Roman"/>
                <w:sz w:val="23"/>
                <w:szCs w:val="23"/>
              </w:rPr>
              <w:t>N</w:t>
            </w:r>
            <w:r w:rsidR="006C4AC0" w:rsidRPr="00F66630">
              <w:rPr>
                <w:rFonts w:ascii="Times New Roman" w:hAnsi="Times New Roman"/>
                <w:sz w:val="23"/>
                <w:szCs w:val="23"/>
              </w:rPr>
              <w:t>o later than June 30, 2022,</w:t>
            </w:r>
            <w:r w:rsidR="006C4AC0" w:rsidRPr="00F66630">
              <w:rPr>
                <w:rFonts w:ascii="Times New Roman" w:hAnsi="Times New Roman"/>
                <w:sz w:val="24"/>
                <w:szCs w:val="24"/>
              </w:rPr>
              <w:t xml:space="preserve"> i</w:t>
            </w:r>
            <w:r w:rsidRPr="00F66630">
              <w:rPr>
                <w:rFonts w:ascii="Times New Roman" w:eastAsia="Calibri" w:hAnsi="Times New Roman" w:cs="Times New Roman"/>
                <w:sz w:val="23"/>
                <w:szCs w:val="23"/>
              </w:rPr>
              <w:t xml:space="preserve">mplement e-procurement in at least 4 MDAs (incl. Education, </w:t>
            </w:r>
            <w:proofErr w:type="gramStart"/>
            <w:r w:rsidRPr="00F66630">
              <w:rPr>
                <w:rFonts w:ascii="Times New Roman" w:eastAsia="Calibri" w:hAnsi="Times New Roman" w:cs="Times New Roman"/>
                <w:sz w:val="23"/>
                <w:szCs w:val="23"/>
              </w:rPr>
              <w:t>Health</w:t>
            </w:r>
            <w:proofErr w:type="gramEnd"/>
            <w:r w:rsidRPr="00F66630">
              <w:rPr>
                <w:rFonts w:ascii="Times New Roman" w:eastAsia="Calibri" w:hAnsi="Times New Roman" w:cs="Times New Roman"/>
                <w:sz w:val="23"/>
                <w:szCs w:val="23"/>
              </w:rPr>
              <w:t xml:space="preserve"> and Public Works) </w:t>
            </w:r>
          </w:p>
          <w:p w14:paraId="2527F380" w14:textId="5F28712F" w:rsidR="00B04505" w:rsidRPr="00F66630" w:rsidRDefault="00B04505" w:rsidP="00B04505">
            <w:pPr>
              <w:rPr>
                <w:rFonts w:ascii="Times New Roman" w:eastAsia="Calibri" w:hAnsi="Times New Roman" w:cs="Times New Roman"/>
                <w:sz w:val="24"/>
                <w:szCs w:val="24"/>
              </w:rPr>
            </w:pPr>
            <w:r w:rsidRPr="00F66630">
              <w:rPr>
                <w:rFonts w:ascii="Times New Roman" w:eastAsia="Calibri" w:hAnsi="Times New Roman" w:cs="Times New Roman"/>
                <w:sz w:val="23"/>
                <w:szCs w:val="23"/>
              </w:rPr>
              <w:t>publish all contract award information in OCDS format on the online portal for the 4 MDAs</w:t>
            </w:r>
            <w:r w:rsidR="007B2E47" w:rsidRPr="00F66630">
              <w:rPr>
                <w:rFonts w:ascii="Times New Roman" w:eastAsia="Calibri" w:hAnsi="Times New Roman" w:cs="Times New Roman"/>
                <w:sz w:val="23"/>
                <w:szCs w:val="23"/>
              </w:rPr>
              <w:t xml:space="preserve"> </w:t>
            </w:r>
          </w:p>
          <w:p w14:paraId="08B544B4" w14:textId="77777777" w:rsidR="00B04505" w:rsidRPr="00F66630" w:rsidRDefault="00B04505" w:rsidP="00B04505">
            <w:pPr>
              <w:rPr>
                <w:rFonts w:ascii="Times New Roman" w:eastAsia="Calibri" w:hAnsi="Times New Roman" w:cs="Times New Roman"/>
                <w:sz w:val="23"/>
                <w:szCs w:val="23"/>
              </w:rPr>
            </w:pPr>
          </w:p>
          <w:p w14:paraId="2D1960A5" w14:textId="77777777" w:rsidR="00B04505" w:rsidRPr="00F66630" w:rsidRDefault="00B04505" w:rsidP="00B04505">
            <w:pPr>
              <w:rPr>
                <w:rFonts w:ascii="Times New Roman" w:eastAsia="Calibri" w:hAnsi="Times New Roman" w:cs="Times New Roman"/>
                <w:sz w:val="23"/>
                <w:szCs w:val="23"/>
              </w:rPr>
            </w:pPr>
            <w:r w:rsidRPr="00F66630">
              <w:rPr>
                <w:rFonts w:ascii="Times New Roman" w:eastAsia="Calibri" w:hAnsi="Times New Roman" w:cs="Times New Roman"/>
                <w:sz w:val="23"/>
                <w:szCs w:val="23"/>
              </w:rPr>
              <w:t>AND</w:t>
            </w:r>
          </w:p>
          <w:p w14:paraId="419D56B5" w14:textId="77777777" w:rsidR="00B04505" w:rsidRPr="00F66630" w:rsidRDefault="00B04505" w:rsidP="00B04505">
            <w:pPr>
              <w:rPr>
                <w:rFonts w:ascii="Times New Roman" w:eastAsia="Calibri" w:hAnsi="Times New Roman" w:cs="Times New Roman"/>
                <w:i/>
                <w:sz w:val="23"/>
                <w:szCs w:val="23"/>
              </w:rPr>
            </w:pPr>
            <w:r w:rsidRPr="00F66630">
              <w:rPr>
                <w:rFonts w:ascii="Times New Roman" w:eastAsia="Calibri" w:hAnsi="Times New Roman" w:cs="Times New Roman"/>
                <w:i/>
                <w:sz w:val="23"/>
                <w:szCs w:val="23"/>
              </w:rPr>
              <w:t>For those MDAs without e-procurement:</w:t>
            </w:r>
          </w:p>
          <w:p w14:paraId="7E2D917D" w14:textId="5499E223" w:rsidR="00B04505" w:rsidRPr="00F66630" w:rsidDel="0024341A" w:rsidRDefault="00B04505" w:rsidP="00B04505">
            <w:pPr>
              <w:spacing w:after="120"/>
              <w:rPr>
                <w:rFonts w:ascii="Times New Roman" w:eastAsia="Times New Roman" w:hAnsi="Times New Roman" w:cs="Times New Roman"/>
                <w:sz w:val="23"/>
                <w:szCs w:val="23"/>
              </w:rPr>
            </w:pPr>
            <w:r w:rsidRPr="00F66630">
              <w:rPr>
                <w:rFonts w:ascii="Times New Roman" w:eastAsia="Calibri" w:hAnsi="Times New Roman" w:cs="Times New Roman"/>
                <w:sz w:val="23"/>
                <w:szCs w:val="23"/>
              </w:rPr>
              <w:t xml:space="preserve">Publish contract award information above a threshold set out in the State’s procurement law/regulation </w:t>
            </w:r>
            <w:proofErr w:type="gramStart"/>
            <w:r w:rsidRPr="00F66630">
              <w:rPr>
                <w:rFonts w:ascii="Times New Roman" w:eastAsia="Calibri" w:hAnsi="Times New Roman" w:cs="Times New Roman"/>
                <w:sz w:val="23"/>
                <w:szCs w:val="23"/>
              </w:rPr>
              <w:t>on a monthly basis</w:t>
            </w:r>
            <w:proofErr w:type="gramEnd"/>
            <w:r w:rsidRPr="00F66630">
              <w:rPr>
                <w:rFonts w:ascii="Times New Roman" w:eastAsia="Calibri" w:hAnsi="Times New Roman" w:cs="Times New Roman"/>
                <w:sz w:val="23"/>
                <w:szCs w:val="23"/>
              </w:rPr>
              <w:t xml:space="preserve"> in OCDS format on the state website or online portal if available</w:t>
            </w:r>
          </w:p>
        </w:tc>
      </w:tr>
      <w:tr w:rsidR="00AD087A" w:rsidRPr="00F66630" w14:paraId="4C45F2F9" w14:textId="77777777" w:rsidTr="00EE6AC0">
        <w:trPr>
          <w:trHeight w:val="251"/>
        </w:trPr>
        <w:tc>
          <w:tcPr>
            <w:tcW w:w="866" w:type="pct"/>
            <w:shd w:val="clear" w:color="auto" w:fill="F2F2F2" w:themeFill="background1" w:themeFillShade="F2"/>
          </w:tcPr>
          <w:p w14:paraId="0DF6BB2B" w14:textId="77777777" w:rsidR="00AD087A" w:rsidRPr="00F66630" w:rsidRDefault="00AD087A" w:rsidP="00AD087A">
            <w:pPr>
              <w:pStyle w:val="ListParagraph"/>
              <w:ind w:left="0"/>
              <w:rPr>
                <w:rFonts w:ascii="Times New Roman" w:hAnsi="Times New Roman" w:cs="Times New Roman"/>
                <w:b/>
                <w:color w:val="C00000"/>
                <w:sz w:val="23"/>
                <w:szCs w:val="23"/>
              </w:rPr>
            </w:pPr>
            <w:r w:rsidRPr="00F66630">
              <w:rPr>
                <w:rFonts w:ascii="Times New Roman" w:hAnsi="Times New Roman" w:cs="Times New Roman"/>
                <w:i/>
                <w:color w:val="C00000"/>
                <w:sz w:val="23"/>
                <w:szCs w:val="23"/>
              </w:rPr>
              <w:t>DLR 6.1 value</w:t>
            </w:r>
          </w:p>
        </w:tc>
        <w:tc>
          <w:tcPr>
            <w:tcW w:w="1034" w:type="pct"/>
            <w:shd w:val="clear" w:color="auto" w:fill="F2F2F2" w:themeFill="background1" w:themeFillShade="F2"/>
          </w:tcPr>
          <w:p w14:paraId="4D771751" w14:textId="14D01ED7" w:rsidR="00AD087A" w:rsidRPr="00F66630" w:rsidRDefault="00AD087A" w:rsidP="00AD087A">
            <w:pPr>
              <w:spacing w:after="120"/>
              <w:rPr>
                <w:rFonts w:ascii="Times New Roman" w:hAnsi="Times New Roman" w:cs="Times New Roman"/>
                <w:color w:val="C00000"/>
              </w:rPr>
            </w:pPr>
            <w:r w:rsidRPr="00F66630">
              <w:rPr>
                <w:rFonts w:ascii="Times New Roman" w:hAnsi="Times New Roman" w:cs="Times New Roman"/>
                <w:bCs/>
                <w:i/>
                <w:color w:val="C00000"/>
              </w:rPr>
              <w:t>$2m per state</w:t>
            </w:r>
          </w:p>
        </w:tc>
        <w:tc>
          <w:tcPr>
            <w:tcW w:w="1034" w:type="pct"/>
            <w:shd w:val="clear" w:color="auto" w:fill="F2F2F2" w:themeFill="background1" w:themeFillShade="F2"/>
          </w:tcPr>
          <w:p w14:paraId="6CC66F31" w14:textId="04B8F4BF" w:rsidR="00AD087A" w:rsidRPr="00F66630" w:rsidRDefault="00AD087A" w:rsidP="00AD087A">
            <w:pPr>
              <w:spacing w:after="120"/>
              <w:rPr>
                <w:rFonts w:ascii="Times New Roman" w:hAnsi="Times New Roman" w:cs="Times New Roman"/>
                <w:color w:val="C00000"/>
              </w:rPr>
            </w:pPr>
            <w:r w:rsidRPr="00F66630">
              <w:rPr>
                <w:rFonts w:ascii="Times New Roman" w:hAnsi="Times New Roman" w:cs="Times New Roman"/>
                <w:bCs/>
                <w:i/>
                <w:color w:val="C00000"/>
              </w:rPr>
              <w:t>$2m per state</w:t>
            </w:r>
          </w:p>
        </w:tc>
        <w:tc>
          <w:tcPr>
            <w:tcW w:w="1035" w:type="pct"/>
            <w:shd w:val="clear" w:color="auto" w:fill="F2F2F2" w:themeFill="background1" w:themeFillShade="F2"/>
          </w:tcPr>
          <w:p w14:paraId="13A492CE" w14:textId="666B0877" w:rsidR="00AD087A" w:rsidRPr="00F66630" w:rsidRDefault="00AD087A" w:rsidP="00AD087A">
            <w:pPr>
              <w:spacing w:after="120"/>
              <w:rPr>
                <w:rFonts w:ascii="Times New Roman" w:hAnsi="Times New Roman" w:cs="Times New Roman"/>
                <w:color w:val="C00000"/>
              </w:rPr>
            </w:pPr>
            <w:r w:rsidRPr="00F66630">
              <w:rPr>
                <w:rFonts w:ascii="Times New Roman" w:hAnsi="Times New Roman" w:cs="Times New Roman"/>
                <w:bCs/>
                <w:i/>
                <w:color w:val="C00000"/>
              </w:rPr>
              <w:t>$2m per state</w:t>
            </w:r>
          </w:p>
        </w:tc>
        <w:tc>
          <w:tcPr>
            <w:tcW w:w="1031" w:type="pct"/>
            <w:shd w:val="clear" w:color="auto" w:fill="F2F2F2" w:themeFill="background1" w:themeFillShade="F2"/>
          </w:tcPr>
          <w:p w14:paraId="2BA0A0CF" w14:textId="5E5C9376" w:rsidR="00AD087A" w:rsidRPr="00F66630" w:rsidRDefault="003967CA" w:rsidP="00AD087A">
            <w:pPr>
              <w:spacing w:after="120"/>
              <w:rPr>
                <w:rFonts w:ascii="Times New Roman" w:hAnsi="Times New Roman" w:cs="Times New Roman"/>
                <w:color w:val="C00000"/>
              </w:rPr>
            </w:pPr>
            <w:r w:rsidRPr="00F66630">
              <w:rPr>
                <w:rFonts w:ascii="Times New Roman" w:hAnsi="Times New Roman" w:cs="Times New Roman"/>
                <w:bCs/>
                <w:i/>
                <w:color w:val="C00000"/>
              </w:rPr>
              <w:t>$2m per state</w:t>
            </w:r>
          </w:p>
        </w:tc>
      </w:tr>
      <w:tr w:rsidR="00EE6AC0" w:rsidRPr="00F66630" w14:paraId="0E06375C" w14:textId="77777777" w:rsidTr="00EE6AC0">
        <w:trPr>
          <w:trHeight w:val="251"/>
        </w:trPr>
        <w:tc>
          <w:tcPr>
            <w:tcW w:w="866" w:type="pct"/>
            <w:shd w:val="clear" w:color="auto" w:fill="F2F2F2" w:themeFill="background1" w:themeFillShade="F2"/>
          </w:tcPr>
          <w:p w14:paraId="32872921" w14:textId="77777777" w:rsidR="00EE6AC0" w:rsidRPr="00F66630" w:rsidRDefault="00EE6AC0" w:rsidP="00EE6AC0">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6.2 value</w:t>
            </w:r>
          </w:p>
        </w:tc>
        <w:tc>
          <w:tcPr>
            <w:tcW w:w="1034" w:type="pct"/>
            <w:shd w:val="clear" w:color="auto" w:fill="F2F2F2" w:themeFill="background1" w:themeFillShade="F2"/>
          </w:tcPr>
          <w:p w14:paraId="06419555" w14:textId="77777777" w:rsidR="00EE6AC0" w:rsidRPr="00F66630" w:rsidRDefault="00EE6AC0" w:rsidP="00EE6AC0">
            <w:pPr>
              <w:spacing w:after="120"/>
              <w:rPr>
                <w:rFonts w:ascii="Times New Roman" w:hAnsi="Times New Roman" w:cs="Times New Roman"/>
                <w:bCs/>
                <w:i/>
                <w:color w:val="C00000"/>
              </w:rPr>
            </w:pPr>
            <w:r w:rsidRPr="00F66630">
              <w:rPr>
                <w:rFonts w:ascii="Times New Roman" w:hAnsi="Times New Roman" w:cs="Times New Roman"/>
                <w:bCs/>
                <w:i/>
                <w:color w:val="C00000"/>
              </w:rPr>
              <w:t>$0.5m per state</w:t>
            </w:r>
          </w:p>
        </w:tc>
        <w:tc>
          <w:tcPr>
            <w:tcW w:w="1034" w:type="pct"/>
            <w:shd w:val="clear" w:color="auto" w:fill="F2F2F2" w:themeFill="background1" w:themeFillShade="F2"/>
          </w:tcPr>
          <w:p w14:paraId="1D0A9627" w14:textId="6EF63323" w:rsidR="00EE6AC0" w:rsidRPr="00F66630" w:rsidRDefault="00EE6AC0" w:rsidP="00EE6AC0">
            <w:pPr>
              <w:spacing w:after="120"/>
              <w:rPr>
                <w:rFonts w:ascii="Times New Roman" w:hAnsi="Times New Roman" w:cs="Times New Roman"/>
                <w:bCs/>
                <w:i/>
                <w:color w:val="C00000"/>
              </w:rPr>
            </w:pPr>
            <w:r w:rsidRPr="00F66630">
              <w:rPr>
                <w:rFonts w:ascii="Times New Roman" w:hAnsi="Times New Roman" w:cs="Times New Roman"/>
                <w:bCs/>
                <w:i/>
                <w:color w:val="C00000"/>
              </w:rPr>
              <w:t>$0.5m per state</w:t>
            </w:r>
          </w:p>
        </w:tc>
        <w:tc>
          <w:tcPr>
            <w:tcW w:w="1035" w:type="pct"/>
            <w:shd w:val="clear" w:color="auto" w:fill="F2F2F2" w:themeFill="background1" w:themeFillShade="F2"/>
          </w:tcPr>
          <w:p w14:paraId="3A2F1974" w14:textId="398AB9F0" w:rsidR="00EE6AC0" w:rsidRPr="00F66630" w:rsidRDefault="00D87020" w:rsidP="00EE6AC0">
            <w:pPr>
              <w:spacing w:after="120"/>
              <w:rPr>
                <w:rFonts w:ascii="Times New Roman" w:hAnsi="Times New Roman" w:cs="Times New Roman"/>
                <w:bCs/>
                <w:i/>
                <w:color w:val="C00000"/>
              </w:rPr>
            </w:pPr>
            <w:r w:rsidRPr="00F66630">
              <w:rPr>
                <w:rFonts w:ascii="Times New Roman" w:hAnsi="Times New Roman" w:cs="Times New Roman"/>
                <w:bCs/>
                <w:i/>
                <w:color w:val="C00000"/>
              </w:rPr>
              <w:t xml:space="preserve">Basic Target: </w:t>
            </w:r>
            <w:r w:rsidR="00EE6AC0" w:rsidRPr="00F66630">
              <w:rPr>
                <w:rFonts w:ascii="Times New Roman" w:hAnsi="Times New Roman" w:cs="Times New Roman"/>
                <w:bCs/>
                <w:i/>
                <w:color w:val="C00000"/>
              </w:rPr>
              <w:t>$1m per state</w:t>
            </w:r>
          </w:p>
        </w:tc>
        <w:tc>
          <w:tcPr>
            <w:tcW w:w="1031" w:type="pct"/>
            <w:shd w:val="clear" w:color="auto" w:fill="F2F2F2" w:themeFill="background1" w:themeFillShade="F2"/>
          </w:tcPr>
          <w:p w14:paraId="3BF05553" w14:textId="5EEC7630" w:rsidR="00EE6AC0" w:rsidRPr="00F66630" w:rsidRDefault="00EE6AC0" w:rsidP="00EE6AC0">
            <w:pPr>
              <w:spacing w:after="120"/>
              <w:rPr>
                <w:rFonts w:ascii="Times New Roman" w:hAnsi="Times New Roman" w:cs="Times New Roman"/>
                <w:bCs/>
                <w:i/>
                <w:color w:val="C00000"/>
              </w:rPr>
            </w:pPr>
            <w:r w:rsidRPr="00F66630">
              <w:rPr>
                <w:rFonts w:ascii="Times New Roman" w:hAnsi="Times New Roman" w:cs="Times New Roman"/>
                <w:bCs/>
                <w:i/>
                <w:color w:val="C00000"/>
              </w:rPr>
              <w:t xml:space="preserve"> $</w:t>
            </w:r>
            <w:r w:rsidR="005C442A" w:rsidRPr="00F66630">
              <w:rPr>
                <w:rFonts w:ascii="Times New Roman" w:hAnsi="Times New Roman" w:cs="Times New Roman"/>
                <w:bCs/>
                <w:i/>
                <w:color w:val="C00000"/>
              </w:rPr>
              <w:t>2</w:t>
            </w:r>
            <w:r w:rsidRPr="00F66630">
              <w:rPr>
                <w:rFonts w:ascii="Times New Roman" w:hAnsi="Times New Roman" w:cs="Times New Roman"/>
                <w:bCs/>
                <w:i/>
                <w:color w:val="C00000"/>
              </w:rPr>
              <w:t>m per state</w:t>
            </w:r>
          </w:p>
        </w:tc>
      </w:tr>
      <w:tr w:rsidR="00D87020" w:rsidRPr="00F66630" w14:paraId="1EDCAC53" w14:textId="77777777" w:rsidTr="00EE6AC0">
        <w:trPr>
          <w:trHeight w:val="251"/>
        </w:trPr>
        <w:tc>
          <w:tcPr>
            <w:tcW w:w="866" w:type="pct"/>
            <w:shd w:val="clear" w:color="auto" w:fill="F2F2F2" w:themeFill="background1" w:themeFillShade="F2"/>
          </w:tcPr>
          <w:p w14:paraId="6A020B3D" w14:textId="77777777" w:rsidR="00D87020" w:rsidRPr="00F66630" w:rsidRDefault="00D87020" w:rsidP="00D87020">
            <w:pPr>
              <w:pStyle w:val="ListParagraph"/>
              <w:ind w:left="0"/>
              <w:rPr>
                <w:rFonts w:ascii="Times New Roman" w:hAnsi="Times New Roman" w:cs="Times New Roman"/>
                <w:i/>
                <w:color w:val="C00000"/>
                <w:sz w:val="23"/>
                <w:szCs w:val="23"/>
              </w:rPr>
            </w:pPr>
          </w:p>
        </w:tc>
        <w:tc>
          <w:tcPr>
            <w:tcW w:w="1034" w:type="pct"/>
            <w:shd w:val="clear" w:color="auto" w:fill="F2F2F2" w:themeFill="background1" w:themeFillShade="F2"/>
          </w:tcPr>
          <w:p w14:paraId="6B761785" w14:textId="77777777" w:rsidR="00D87020" w:rsidRPr="00F66630" w:rsidRDefault="00D87020" w:rsidP="00D87020">
            <w:pPr>
              <w:spacing w:after="120"/>
              <w:rPr>
                <w:rFonts w:ascii="Times New Roman" w:hAnsi="Times New Roman" w:cs="Times New Roman"/>
                <w:bCs/>
                <w:i/>
                <w:color w:val="C00000"/>
              </w:rPr>
            </w:pPr>
          </w:p>
        </w:tc>
        <w:tc>
          <w:tcPr>
            <w:tcW w:w="1034" w:type="pct"/>
            <w:shd w:val="clear" w:color="auto" w:fill="F2F2F2" w:themeFill="background1" w:themeFillShade="F2"/>
          </w:tcPr>
          <w:p w14:paraId="2C714CE4" w14:textId="77777777" w:rsidR="00D87020" w:rsidRPr="00F66630" w:rsidRDefault="00D87020" w:rsidP="00D87020">
            <w:pPr>
              <w:spacing w:after="120"/>
              <w:rPr>
                <w:rFonts w:ascii="Times New Roman" w:hAnsi="Times New Roman" w:cs="Times New Roman"/>
                <w:bCs/>
                <w:i/>
                <w:color w:val="C00000"/>
              </w:rPr>
            </w:pPr>
          </w:p>
        </w:tc>
        <w:tc>
          <w:tcPr>
            <w:tcW w:w="1035" w:type="pct"/>
            <w:shd w:val="clear" w:color="auto" w:fill="F2F2F2" w:themeFill="background1" w:themeFillShade="F2"/>
          </w:tcPr>
          <w:p w14:paraId="119F9F2C" w14:textId="6B89C996" w:rsidR="00D87020" w:rsidRPr="00F66630" w:rsidRDefault="00D87020" w:rsidP="00D87020">
            <w:pPr>
              <w:spacing w:after="120"/>
              <w:rPr>
                <w:rFonts w:ascii="Times New Roman" w:hAnsi="Times New Roman" w:cs="Times New Roman"/>
                <w:bCs/>
                <w:i/>
                <w:color w:val="C00000"/>
              </w:rPr>
            </w:pPr>
            <w:r w:rsidRPr="00F66630">
              <w:rPr>
                <w:rFonts w:ascii="Times New Roman" w:hAnsi="Times New Roman" w:cs="Times New Roman"/>
                <w:bCs/>
                <w:i/>
                <w:color w:val="C00000"/>
              </w:rPr>
              <w:t>Stretch Target: $1.5m per state</w:t>
            </w:r>
          </w:p>
        </w:tc>
        <w:tc>
          <w:tcPr>
            <w:tcW w:w="1031" w:type="pct"/>
            <w:shd w:val="clear" w:color="auto" w:fill="F2F2F2" w:themeFill="background1" w:themeFillShade="F2"/>
          </w:tcPr>
          <w:p w14:paraId="33AA1461" w14:textId="77777777" w:rsidR="00D87020" w:rsidRPr="00F66630" w:rsidRDefault="00D87020" w:rsidP="00D87020">
            <w:pPr>
              <w:spacing w:after="120"/>
              <w:rPr>
                <w:rFonts w:ascii="Times New Roman" w:hAnsi="Times New Roman" w:cs="Times New Roman"/>
                <w:bCs/>
                <w:i/>
                <w:color w:val="C00000"/>
              </w:rPr>
            </w:pPr>
          </w:p>
        </w:tc>
      </w:tr>
      <w:tr w:rsidR="00ED5CB0" w:rsidRPr="00F66630" w14:paraId="0E7319A6" w14:textId="77777777" w:rsidTr="00DD7AE9">
        <w:trPr>
          <w:trHeight w:val="971"/>
        </w:trPr>
        <w:tc>
          <w:tcPr>
            <w:tcW w:w="866" w:type="pct"/>
            <w:vMerge w:val="restart"/>
            <w:shd w:val="clear" w:color="auto" w:fill="FFFFFF" w:themeFill="background1"/>
          </w:tcPr>
          <w:p w14:paraId="05988D52" w14:textId="77777777" w:rsidR="00ED5CB0" w:rsidRPr="00F66630" w:rsidRDefault="00ED5CB0" w:rsidP="00D87020">
            <w:pPr>
              <w:pStyle w:val="ListParagraph"/>
              <w:ind w:left="0"/>
              <w:rPr>
                <w:rFonts w:ascii="Times New Roman" w:hAnsi="Times New Roman" w:cs="Times New Roman"/>
                <w:b/>
                <w:sz w:val="24"/>
                <w:szCs w:val="24"/>
              </w:rPr>
            </w:pPr>
            <w:r w:rsidRPr="00F66630">
              <w:rPr>
                <w:rFonts w:ascii="Times New Roman" w:hAnsi="Times New Roman" w:cs="Times New Roman"/>
                <w:b/>
                <w:sz w:val="24"/>
                <w:szCs w:val="24"/>
              </w:rPr>
              <w:t>DLI 7: Strengthened public debt management and fiscal responsibility framework</w:t>
            </w:r>
          </w:p>
        </w:tc>
        <w:tc>
          <w:tcPr>
            <w:tcW w:w="4134" w:type="pct"/>
            <w:gridSpan w:val="4"/>
            <w:shd w:val="clear" w:color="auto" w:fill="FFFFFF" w:themeFill="background1"/>
          </w:tcPr>
          <w:p w14:paraId="7343E347" w14:textId="6A21C8C2" w:rsidR="00ED5CB0" w:rsidRPr="00F66630" w:rsidRDefault="00ED5CB0" w:rsidP="00D87020">
            <w:pPr>
              <w:spacing w:after="120"/>
              <w:rPr>
                <w:rFonts w:ascii="Times New Roman" w:hAnsi="Times New Roman" w:cs="Times New Roman"/>
                <w:color w:val="000000" w:themeColor="text1"/>
                <w:sz w:val="23"/>
                <w:szCs w:val="23"/>
              </w:rPr>
            </w:pPr>
            <w:r w:rsidRPr="00F66630">
              <w:rPr>
                <w:rFonts w:ascii="Times New Roman" w:hAnsi="Times New Roman"/>
                <w:sz w:val="23"/>
                <w:szCs w:val="23"/>
              </w:rPr>
              <w:t xml:space="preserve">7.1 State implementing state-level debt legislation, </w:t>
            </w:r>
            <w:r w:rsidRPr="00F66630">
              <w:rPr>
                <w:rFonts w:ascii="Times New Roman" w:hAnsi="Times New Roman"/>
                <w:color w:val="000000"/>
                <w:sz w:val="23"/>
                <w:szCs w:val="23"/>
              </w:rPr>
              <w:t xml:space="preserve">which stipulates: 1) responsibilities for contracting state debt; 2) responsibilities for recording/reporting state debt; and 3) fiscal and debt rules/limits. </w:t>
            </w:r>
            <w:r w:rsidRPr="00F66630">
              <w:rPr>
                <w:rFonts w:ascii="Times New Roman" w:hAnsi="Times New Roman"/>
                <w:i/>
                <w:sz w:val="23"/>
                <w:szCs w:val="23"/>
              </w:rPr>
              <w:t xml:space="preserve">(one-time payment for year in which DLR is first achieved, up to </w:t>
            </w:r>
            <w:r w:rsidR="00050A0E" w:rsidRPr="00F66630">
              <w:rPr>
                <w:rFonts w:ascii="Times New Roman" w:hAnsi="Times New Roman"/>
                <w:i/>
                <w:sz w:val="23"/>
                <w:szCs w:val="23"/>
              </w:rPr>
              <w:t>end of 2021</w:t>
            </w:r>
            <w:r w:rsidRPr="00F66630">
              <w:rPr>
                <w:rFonts w:ascii="Times New Roman" w:hAnsi="Times New Roman"/>
                <w:i/>
                <w:sz w:val="23"/>
                <w:szCs w:val="23"/>
              </w:rPr>
              <w:t>)</w:t>
            </w:r>
          </w:p>
        </w:tc>
      </w:tr>
      <w:tr w:rsidR="00D87020" w:rsidRPr="00F66630" w14:paraId="561829E8" w14:textId="77777777" w:rsidTr="00DD7AE9">
        <w:trPr>
          <w:trHeight w:val="539"/>
        </w:trPr>
        <w:tc>
          <w:tcPr>
            <w:tcW w:w="866" w:type="pct"/>
            <w:vMerge/>
            <w:shd w:val="clear" w:color="auto" w:fill="FFFFFF" w:themeFill="background1"/>
          </w:tcPr>
          <w:p w14:paraId="70ABBCB5" w14:textId="77777777" w:rsidR="00D87020" w:rsidRPr="00F66630" w:rsidRDefault="00D87020" w:rsidP="00D87020">
            <w:pPr>
              <w:pStyle w:val="ListParagraph"/>
              <w:ind w:left="0"/>
              <w:rPr>
                <w:rFonts w:ascii="Times New Roman" w:hAnsi="Times New Roman" w:cs="Times New Roman"/>
                <w:b/>
                <w:sz w:val="24"/>
                <w:szCs w:val="24"/>
              </w:rPr>
            </w:pPr>
          </w:p>
        </w:tc>
        <w:tc>
          <w:tcPr>
            <w:tcW w:w="1034" w:type="pct"/>
            <w:shd w:val="clear" w:color="auto" w:fill="FFFFFF" w:themeFill="background1"/>
          </w:tcPr>
          <w:p w14:paraId="4D815A48" w14:textId="77777777" w:rsidR="00D87020" w:rsidRPr="00F66630" w:rsidRDefault="00D87020" w:rsidP="00D87020">
            <w:pPr>
              <w:spacing w:after="120"/>
              <w:rPr>
                <w:rFonts w:ascii="Times New Roman" w:hAnsi="Times New Roman" w:cs="Times New Roman"/>
                <w:sz w:val="23"/>
                <w:szCs w:val="23"/>
              </w:rPr>
            </w:pPr>
            <w:r w:rsidRPr="00F66630">
              <w:rPr>
                <w:rFonts w:ascii="Times New Roman" w:hAnsi="Times New Roman" w:cs="Times New Roman"/>
                <w:sz w:val="23"/>
                <w:szCs w:val="23"/>
              </w:rPr>
              <w:t xml:space="preserve">7.2 </w:t>
            </w:r>
            <w:r w:rsidRPr="00F66630">
              <w:rPr>
                <w:rFonts w:ascii="Times New Roman" w:hAnsi="Times New Roman" w:cs="Times New Roman"/>
                <w:color w:val="000000" w:themeColor="text1"/>
                <w:sz w:val="23"/>
                <w:szCs w:val="23"/>
              </w:rPr>
              <w:t>Quarterly state debt reports accepted by the DMO on average two months or less after the end of the quarter in 2018</w:t>
            </w:r>
          </w:p>
        </w:tc>
        <w:tc>
          <w:tcPr>
            <w:tcW w:w="1034" w:type="pct"/>
            <w:shd w:val="clear" w:color="auto" w:fill="FFFFFF" w:themeFill="background1"/>
          </w:tcPr>
          <w:p w14:paraId="76715B03" w14:textId="77777777" w:rsidR="00D87020" w:rsidRPr="00F66630" w:rsidRDefault="00D87020" w:rsidP="00D87020">
            <w:pPr>
              <w:spacing w:after="120"/>
              <w:rPr>
                <w:rFonts w:ascii="Times New Roman" w:hAnsi="Times New Roman" w:cs="Times New Roman"/>
                <w:sz w:val="23"/>
                <w:szCs w:val="23"/>
              </w:rPr>
            </w:pPr>
            <w:r w:rsidRPr="00F66630">
              <w:rPr>
                <w:rFonts w:ascii="Times New Roman" w:hAnsi="Times New Roman" w:cs="Times New Roman"/>
                <w:sz w:val="23"/>
                <w:szCs w:val="23"/>
              </w:rPr>
              <w:t xml:space="preserve">7.2 </w:t>
            </w:r>
            <w:r w:rsidRPr="00F66630">
              <w:rPr>
                <w:rFonts w:ascii="Times New Roman" w:hAnsi="Times New Roman" w:cs="Times New Roman"/>
                <w:color w:val="000000" w:themeColor="text1"/>
                <w:sz w:val="23"/>
                <w:szCs w:val="23"/>
              </w:rPr>
              <w:t>Quarterly state debt reports accepted by the DMO on average two months or less after the end of the quarter in 2019</w:t>
            </w:r>
          </w:p>
        </w:tc>
        <w:tc>
          <w:tcPr>
            <w:tcW w:w="1035" w:type="pct"/>
            <w:shd w:val="clear" w:color="auto" w:fill="FFFFFF" w:themeFill="background1"/>
          </w:tcPr>
          <w:p w14:paraId="75BD80A4" w14:textId="324A70D8" w:rsidR="00D87020" w:rsidRPr="00F66630" w:rsidRDefault="00D87020" w:rsidP="00D87020">
            <w:pPr>
              <w:spacing w:after="120"/>
              <w:rPr>
                <w:rFonts w:ascii="Times New Roman" w:hAnsi="Times New Roman" w:cs="Times New Roman"/>
                <w:color w:val="000000" w:themeColor="text1"/>
                <w:sz w:val="23"/>
                <w:szCs w:val="23"/>
              </w:rPr>
            </w:pPr>
            <w:r w:rsidRPr="00F66630">
              <w:rPr>
                <w:rFonts w:ascii="Times New Roman" w:hAnsi="Times New Roman" w:cs="Times New Roman"/>
                <w:sz w:val="23"/>
                <w:szCs w:val="23"/>
              </w:rPr>
              <w:t xml:space="preserve">7.2 </w:t>
            </w:r>
            <w:r w:rsidRPr="00F66630">
              <w:rPr>
                <w:rFonts w:ascii="Times New Roman" w:hAnsi="Times New Roman" w:cs="Times New Roman"/>
                <w:color w:val="000000" w:themeColor="text1"/>
                <w:sz w:val="23"/>
                <w:szCs w:val="23"/>
              </w:rPr>
              <w:t xml:space="preserve">Quarterly state debt reports </w:t>
            </w:r>
            <w:r w:rsidR="006436AD" w:rsidRPr="00F66630">
              <w:rPr>
                <w:rFonts w:ascii="Times New Roman" w:hAnsi="Times New Roman" w:cs="Times New Roman"/>
                <w:color w:val="000000" w:themeColor="text1"/>
                <w:sz w:val="23"/>
                <w:szCs w:val="23"/>
              </w:rPr>
              <w:t xml:space="preserve">for Q2, Q3 and Q4 2020 </w:t>
            </w:r>
            <w:r w:rsidRPr="00F66630">
              <w:rPr>
                <w:rFonts w:ascii="Times New Roman" w:hAnsi="Times New Roman" w:cs="Times New Roman"/>
                <w:color w:val="000000" w:themeColor="text1"/>
                <w:sz w:val="23"/>
                <w:szCs w:val="23"/>
              </w:rPr>
              <w:t>accepted by the DMO on average two months or less after the end of the quarter in 2020</w:t>
            </w:r>
          </w:p>
          <w:p w14:paraId="77F7A2EF" w14:textId="77777777" w:rsidR="00D87020" w:rsidRPr="00F66630" w:rsidRDefault="00D87020" w:rsidP="00D87020">
            <w:pPr>
              <w:spacing w:after="120"/>
              <w:rPr>
                <w:rFonts w:ascii="Times New Roman" w:hAnsi="Times New Roman" w:cs="Times New Roman"/>
                <w:color w:val="000000" w:themeColor="text1"/>
                <w:sz w:val="23"/>
                <w:szCs w:val="23"/>
              </w:rPr>
            </w:pPr>
            <w:r w:rsidRPr="00F66630">
              <w:rPr>
                <w:rFonts w:ascii="Times New Roman" w:hAnsi="Times New Roman" w:cs="Times New Roman"/>
                <w:color w:val="000000" w:themeColor="text1"/>
                <w:sz w:val="23"/>
                <w:szCs w:val="23"/>
              </w:rPr>
              <w:t xml:space="preserve">AND </w:t>
            </w:r>
          </w:p>
          <w:p w14:paraId="01FD0BD8" w14:textId="51A8CEFC" w:rsidR="00D87020" w:rsidRPr="00F66630" w:rsidRDefault="00D87020" w:rsidP="00D87020">
            <w:pPr>
              <w:spacing w:after="120"/>
              <w:rPr>
                <w:rFonts w:ascii="Times New Roman" w:hAnsi="Times New Roman" w:cs="Times New Roman"/>
                <w:color w:val="000000" w:themeColor="text1"/>
                <w:sz w:val="23"/>
                <w:szCs w:val="23"/>
              </w:rPr>
            </w:pPr>
            <w:r w:rsidRPr="00F66630">
              <w:rPr>
                <w:rFonts w:ascii="Times New Roman" w:hAnsi="Times New Roman" w:cs="Times New Roman"/>
                <w:color w:val="000000" w:themeColor="text1"/>
                <w:sz w:val="23"/>
                <w:szCs w:val="23"/>
              </w:rPr>
              <w:t>Annual state debt sustainability analysis published by end of December 2020</w:t>
            </w:r>
          </w:p>
        </w:tc>
        <w:tc>
          <w:tcPr>
            <w:tcW w:w="1031" w:type="pct"/>
            <w:shd w:val="clear" w:color="auto" w:fill="FFFFFF" w:themeFill="background1"/>
          </w:tcPr>
          <w:p w14:paraId="63BBFF1C" w14:textId="77777777" w:rsidR="00D87020" w:rsidRPr="00F66630" w:rsidRDefault="00D87020" w:rsidP="00D87020">
            <w:pPr>
              <w:spacing w:after="120"/>
              <w:rPr>
                <w:rFonts w:ascii="Times New Roman" w:hAnsi="Times New Roman" w:cs="Times New Roman"/>
                <w:sz w:val="23"/>
                <w:szCs w:val="23"/>
              </w:rPr>
            </w:pPr>
            <w:r w:rsidRPr="00F66630">
              <w:rPr>
                <w:rFonts w:ascii="Times New Roman" w:hAnsi="Times New Roman" w:cs="Times New Roman"/>
                <w:sz w:val="23"/>
                <w:szCs w:val="23"/>
              </w:rPr>
              <w:t xml:space="preserve">7.2 </w:t>
            </w:r>
            <w:r w:rsidRPr="00F66630">
              <w:rPr>
                <w:rFonts w:ascii="Times New Roman" w:hAnsi="Times New Roman" w:cs="Times New Roman"/>
                <w:color w:val="000000" w:themeColor="text1"/>
                <w:sz w:val="23"/>
                <w:szCs w:val="23"/>
              </w:rPr>
              <w:t>Quarterly state debt reports accepted by the DMO on average two months or less after the end of the quarter in 2021</w:t>
            </w:r>
          </w:p>
          <w:p w14:paraId="069A9F04" w14:textId="74D3018A" w:rsidR="00D87020" w:rsidRPr="00F66630" w:rsidRDefault="00D87020" w:rsidP="00D87020">
            <w:pPr>
              <w:spacing w:after="120"/>
              <w:rPr>
                <w:rFonts w:ascii="Times New Roman" w:hAnsi="Times New Roman" w:cs="Times New Roman"/>
                <w:color w:val="000000" w:themeColor="text1"/>
                <w:sz w:val="23"/>
                <w:szCs w:val="23"/>
              </w:rPr>
            </w:pPr>
            <w:r w:rsidRPr="00F66630">
              <w:rPr>
                <w:rFonts w:ascii="Times New Roman" w:hAnsi="Times New Roman" w:cs="Times New Roman"/>
                <w:color w:val="000000" w:themeColor="text1"/>
                <w:sz w:val="23"/>
                <w:szCs w:val="23"/>
              </w:rPr>
              <w:t>AND</w:t>
            </w:r>
          </w:p>
          <w:p w14:paraId="3E36C45E" w14:textId="0D8736E9" w:rsidR="00D87020" w:rsidRPr="00F66630" w:rsidRDefault="00D87020" w:rsidP="00D87020">
            <w:pPr>
              <w:rPr>
                <w:rFonts w:ascii="Times New Roman" w:hAnsi="Times New Roman" w:cs="Times New Roman"/>
                <w:color w:val="000000" w:themeColor="text1"/>
                <w:sz w:val="23"/>
                <w:szCs w:val="23"/>
              </w:rPr>
            </w:pPr>
            <w:r w:rsidRPr="00F66630">
              <w:rPr>
                <w:rFonts w:ascii="Times New Roman" w:hAnsi="Times New Roman" w:cs="Times New Roman"/>
                <w:color w:val="000000" w:themeColor="text1"/>
                <w:sz w:val="23"/>
                <w:szCs w:val="23"/>
              </w:rPr>
              <w:t>Annual state debt sustainability analysis and Medium-term debt management strategy published by end of December 2021</w:t>
            </w:r>
          </w:p>
        </w:tc>
      </w:tr>
      <w:tr w:rsidR="00D87020" w:rsidRPr="00F66630" w14:paraId="17581856" w14:textId="77777777" w:rsidTr="00B90892">
        <w:trPr>
          <w:trHeight w:val="251"/>
        </w:trPr>
        <w:tc>
          <w:tcPr>
            <w:tcW w:w="866" w:type="pct"/>
            <w:tcBorders>
              <w:bottom w:val="single" w:sz="4" w:space="0" w:color="auto"/>
            </w:tcBorders>
            <w:shd w:val="clear" w:color="auto" w:fill="FFFFFF" w:themeFill="background1"/>
          </w:tcPr>
          <w:p w14:paraId="67D69BCB" w14:textId="002D32C0" w:rsidR="00D87020" w:rsidRPr="00F66630" w:rsidRDefault="00D87020" w:rsidP="00D87020">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7.1 value</w:t>
            </w:r>
          </w:p>
        </w:tc>
        <w:tc>
          <w:tcPr>
            <w:tcW w:w="1034" w:type="pct"/>
            <w:tcBorders>
              <w:bottom w:val="single" w:sz="4" w:space="0" w:color="auto"/>
            </w:tcBorders>
            <w:shd w:val="clear" w:color="auto" w:fill="FFFFFF" w:themeFill="background1"/>
          </w:tcPr>
          <w:p w14:paraId="21D532FE" w14:textId="62E8491D" w:rsidR="00D87020" w:rsidRPr="00F66630" w:rsidRDefault="00D87020" w:rsidP="00D87020">
            <w:pPr>
              <w:spacing w:after="120"/>
              <w:rPr>
                <w:rFonts w:ascii="Times New Roman" w:hAnsi="Times New Roman" w:cs="Times New Roman"/>
                <w:i/>
                <w:sz w:val="23"/>
                <w:szCs w:val="23"/>
              </w:rPr>
            </w:pPr>
            <w:r w:rsidRPr="00F66630">
              <w:rPr>
                <w:rFonts w:ascii="Times New Roman" w:hAnsi="Times New Roman" w:cs="Times New Roman"/>
                <w:bCs/>
                <w:i/>
                <w:color w:val="C00000"/>
                <w:sz w:val="23"/>
                <w:szCs w:val="23"/>
              </w:rPr>
              <w:t>$2m per state</w:t>
            </w:r>
          </w:p>
        </w:tc>
        <w:tc>
          <w:tcPr>
            <w:tcW w:w="1034" w:type="pct"/>
            <w:tcBorders>
              <w:bottom w:val="single" w:sz="4" w:space="0" w:color="auto"/>
            </w:tcBorders>
            <w:shd w:val="clear" w:color="auto" w:fill="FFFFFF" w:themeFill="background1"/>
          </w:tcPr>
          <w:p w14:paraId="0B12085A" w14:textId="1E318B57" w:rsidR="00D87020" w:rsidRPr="00F66630" w:rsidRDefault="00D87020" w:rsidP="00D87020">
            <w:pPr>
              <w:spacing w:after="120"/>
              <w:rPr>
                <w:rFonts w:ascii="Times New Roman" w:hAnsi="Times New Roman" w:cs="Times New Roman"/>
                <w:i/>
                <w:sz w:val="23"/>
                <w:szCs w:val="23"/>
              </w:rPr>
            </w:pPr>
            <w:r w:rsidRPr="00F66630">
              <w:rPr>
                <w:rFonts w:ascii="Times New Roman" w:hAnsi="Times New Roman" w:cs="Times New Roman"/>
                <w:bCs/>
                <w:i/>
                <w:color w:val="C00000"/>
                <w:sz w:val="23"/>
                <w:szCs w:val="23"/>
              </w:rPr>
              <w:t>$2m per state</w:t>
            </w:r>
          </w:p>
        </w:tc>
        <w:tc>
          <w:tcPr>
            <w:tcW w:w="1035" w:type="pct"/>
            <w:tcBorders>
              <w:bottom w:val="single" w:sz="4" w:space="0" w:color="auto"/>
            </w:tcBorders>
            <w:shd w:val="clear" w:color="auto" w:fill="FFFFFF" w:themeFill="background1"/>
          </w:tcPr>
          <w:p w14:paraId="4DD72283" w14:textId="42788940" w:rsidR="00D87020" w:rsidRPr="00F66630" w:rsidRDefault="00D87020" w:rsidP="00D87020">
            <w:pPr>
              <w:spacing w:after="120"/>
              <w:rPr>
                <w:rFonts w:ascii="Times New Roman" w:hAnsi="Times New Roman" w:cs="Times New Roman"/>
                <w:i/>
                <w:sz w:val="23"/>
                <w:szCs w:val="23"/>
              </w:rPr>
            </w:pPr>
            <w:r w:rsidRPr="00F66630">
              <w:rPr>
                <w:rFonts w:ascii="Times New Roman" w:hAnsi="Times New Roman" w:cs="Times New Roman"/>
                <w:bCs/>
                <w:i/>
                <w:color w:val="C00000"/>
                <w:sz w:val="23"/>
                <w:szCs w:val="23"/>
              </w:rPr>
              <w:t>$2m per state</w:t>
            </w:r>
          </w:p>
        </w:tc>
        <w:tc>
          <w:tcPr>
            <w:tcW w:w="1031" w:type="pct"/>
            <w:tcBorders>
              <w:bottom w:val="single" w:sz="4" w:space="0" w:color="auto"/>
            </w:tcBorders>
            <w:shd w:val="clear" w:color="auto" w:fill="FFFFFF" w:themeFill="background1"/>
          </w:tcPr>
          <w:p w14:paraId="5153CFCF" w14:textId="6B38D8AF" w:rsidR="00D87020" w:rsidRPr="00F66630" w:rsidRDefault="006C54FD" w:rsidP="00D87020">
            <w:pPr>
              <w:spacing w:after="120"/>
              <w:rPr>
                <w:rFonts w:ascii="Times New Roman" w:hAnsi="Times New Roman" w:cs="Times New Roman"/>
                <w:i/>
                <w:sz w:val="23"/>
                <w:szCs w:val="23"/>
              </w:rPr>
            </w:pPr>
            <w:r w:rsidRPr="00F66630">
              <w:rPr>
                <w:rFonts w:ascii="Times New Roman" w:hAnsi="Times New Roman" w:cs="Times New Roman"/>
                <w:bCs/>
                <w:i/>
                <w:color w:val="C00000"/>
                <w:sz w:val="23"/>
                <w:szCs w:val="23"/>
              </w:rPr>
              <w:t>$2m per state</w:t>
            </w:r>
          </w:p>
        </w:tc>
      </w:tr>
      <w:tr w:rsidR="00D87020" w:rsidRPr="00F66630" w14:paraId="12F774C5" w14:textId="77777777" w:rsidTr="00B90892">
        <w:trPr>
          <w:trHeight w:val="332"/>
        </w:trPr>
        <w:tc>
          <w:tcPr>
            <w:tcW w:w="866" w:type="pct"/>
            <w:tcBorders>
              <w:bottom w:val="single" w:sz="4" w:space="0" w:color="auto"/>
            </w:tcBorders>
            <w:shd w:val="clear" w:color="auto" w:fill="FFFFFF" w:themeFill="background1"/>
          </w:tcPr>
          <w:p w14:paraId="29AA5071" w14:textId="34E8BB0C" w:rsidR="00D87020" w:rsidRPr="00F66630" w:rsidRDefault="00D87020" w:rsidP="00D87020">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7.2 value</w:t>
            </w:r>
          </w:p>
        </w:tc>
        <w:tc>
          <w:tcPr>
            <w:tcW w:w="1034" w:type="pct"/>
            <w:tcBorders>
              <w:bottom w:val="single" w:sz="4" w:space="0" w:color="auto"/>
            </w:tcBorders>
            <w:shd w:val="clear" w:color="auto" w:fill="FFFFFF" w:themeFill="background1"/>
          </w:tcPr>
          <w:p w14:paraId="357DF468" w14:textId="4C31A2E8" w:rsidR="00D87020" w:rsidRPr="00F66630" w:rsidRDefault="00D87020" w:rsidP="00D87020">
            <w:pPr>
              <w:spacing w:after="120"/>
              <w:rPr>
                <w:rFonts w:ascii="Times New Roman" w:hAnsi="Times New Roman" w:cs="Times New Roman"/>
                <w:bCs/>
                <w:i/>
                <w:color w:val="C00000"/>
                <w:sz w:val="23"/>
                <w:szCs w:val="23"/>
              </w:rPr>
            </w:pPr>
            <w:r w:rsidRPr="00F66630">
              <w:rPr>
                <w:rFonts w:ascii="Times New Roman" w:hAnsi="Times New Roman" w:cs="Times New Roman"/>
                <w:bCs/>
                <w:i/>
                <w:color w:val="C00000"/>
                <w:sz w:val="23"/>
                <w:szCs w:val="23"/>
              </w:rPr>
              <w:t xml:space="preserve"> $0.5m per state</w:t>
            </w:r>
          </w:p>
        </w:tc>
        <w:tc>
          <w:tcPr>
            <w:tcW w:w="1034" w:type="pct"/>
            <w:tcBorders>
              <w:bottom w:val="single" w:sz="4" w:space="0" w:color="auto"/>
            </w:tcBorders>
            <w:shd w:val="clear" w:color="auto" w:fill="FFFFFF" w:themeFill="background1"/>
          </w:tcPr>
          <w:p w14:paraId="3C15F833" w14:textId="638661DF" w:rsidR="00D87020" w:rsidRPr="00F66630" w:rsidRDefault="00D87020" w:rsidP="00D87020">
            <w:pPr>
              <w:spacing w:after="120"/>
              <w:rPr>
                <w:rFonts w:ascii="Times New Roman" w:hAnsi="Times New Roman" w:cs="Times New Roman"/>
                <w:bCs/>
                <w:i/>
                <w:color w:val="C00000"/>
                <w:sz w:val="23"/>
                <w:szCs w:val="23"/>
              </w:rPr>
            </w:pPr>
            <w:r w:rsidRPr="00F66630">
              <w:rPr>
                <w:rFonts w:ascii="Times New Roman" w:hAnsi="Times New Roman" w:cs="Times New Roman"/>
                <w:bCs/>
                <w:i/>
                <w:color w:val="C00000"/>
                <w:sz w:val="23"/>
                <w:szCs w:val="23"/>
              </w:rPr>
              <w:t>$0.5m per state</w:t>
            </w:r>
          </w:p>
        </w:tc>
        <w:tc>
          <w:tcPr>
            <w:tcW w:w="1035" w:type="pct"/>
            <w:tcBorders>
              <w:bottom w:val="single" w:sz="4" w:space="0" w:color="auto"/>
            </w:tcBorders>
            <w:shd w:val="clear" w:color="auto" w:fill="FFFFFF" w:themeFill="background1"/>
          </w:tcPr>
          <w:p w14:paraId="31DF873B" w14:textId="12FF70B0" w:rsidR="00D87020" w:rsidRPr="00F66630" w:rsidRDefault="00D87020" w:rsidP="00D87020">
            <w:pPr>
              <w:spacing w:after="120"/>
              <w:rPr>
                <w:rFonts w:ascii="Times New Roman" w:hAnsi="Times New Roman" w:cs="Times New Roman"/>
                <w:bCs/>
                <w:i/>
                <w:color w:val="C00000"/>
                <w:sz w:val="23"/>
                <w:szCs w:val="23"/>
              </w:rPr>
            </w:pPr>
            <w:r w:rsidRPr="00F66630">
              <w:rPr>
                <w:rFonts w:ascii="Times New Roman" w:hAnsi="Times New Roman" w:cs="Times New Roman"/>
                <w:bCs/>
                <w:i/>
                <w:color w:val="C00000"/>
                <w:sz w:val="23"/>
                <w:szCs w:val="23"/>
              </w:rPr>
              <w:t>$0.5m per state</w:t>
            </w:r>
          </w:p>
        </w:tc>
        <w:tc>
          <w:tcPr>
            <w:tcW w:w="1031" w:type="pct"/>
            <w:tcBorders>
              <w:bottom w:val="single" w:sz="4" w:space="0" w:color="auto"/>
            </w:tcBorders>
            <w:shd w:val="clear" w:color="auto" w:fill="FFFFFF" w:themeFill="background1"/>
          </w:tcPr>
          <w:p w14:paraId="6753BFF1" w14:textId="57735341" w:rsidR="00D87020" w:rsidRPr="00F66630" w:rsidRDefault="00D87020" w:rsidP="00D87020">
            <w:pPr>
              <w:spacing w:after="120"/>
              <w:rPr>
                <w:rFonts w:ascii="Times New Roman" w:hAnsi="Times New Roman" w:cs="Times New Roman"/>
                <w:bCs/>
                <w:i/>
                <w:color w:val="C00000"/>
                <w:sz w:val="23"/>
                <w:szCs w:val="23"/>
              </w:rPr>
            </w:pPr>
            <w:r w:rsidRPr="00F66630">
              <w:rPr>
                <w:rFonts w:ascii="Times New Roman" w:hAnsi="Times New Roman" w:cs="Times New Roman"/>
                <w:bCs/>
                <w:i/>
                <w:color w:val="C00000"/>
                <w:sz w:val="23"/>
                <w:szCs w:val="23"/>
              </w:rPr>
              <w:t>$0.5m per state</w:t>
            </w:r>
          </w:p>
        </w:tc>
      </w:tr>
      <w:tr w:rsidR="00D87020" w:rsidRPr="00F66630" w14:paraId="151D534D" w14:textId="77777777" w:rsidTr="00B90892">
        <w:trPr>
          <w:trHeight w:val="458"/>
        </w:trPr>
        <w:tc>
          <w:tcPr>
            <w:tcW w:w="866" w:type="pct"/>
            <w:tcBorders>
              <w:top w:val="nil"/>
              <w:bottom w:val="single" w:sz="4" w:space="0" w:color="auto"/>
            </w:tcBorders>
            <w:shd w:val="clear" w:color="auto" w:fill="F2F2F2" w:themeFill="background1" w:themeFillShade="F2"/>
          </w:tcPr>
          <w:p w14:paraId="3A47527A" w14:textId="6D60A2F9" w:rsidR="00D87020" w:rsidRPr="00F66630" w:rsidDel="00E43FA9" w:rsidRDefault="00D87020" w:rsidP="00D87020">
            <w:pPr>
              <w:rPr>
                <w:rFonts w:ascii="Times New Roman" w:hAnsi="Times New Roman" w:cs="Times New Roman"/>
                <w:b/>
                <w:bCs/>
                <w:sz w:val="24"/>
                <w:szCs w:val="24"/>
              </w:rPr>
            </w:pPr>
            <w:r w:rsidRPr="00F66630">
              <w:rPr>
                <w:rFonts w:ascii="Times New Roman" w:hAnsi="Times New Roman" w:cs="Times New Roman"/>
                <w:b/>
                <w:bCs/>
                <w:sz w:val="24"/>
                <w:szCs w:val="24"/>
              </w:rPr>
              <w:t xml:space="preserve">DLI 8: Improved clearance/reduction </w:t>
            </w:r>
            <w:r w:rsidRPr="00F66630">
              <w:rPr>
                <w:rFonts w:ascii="Times New Roman" w:hAnsi="Times New Roman" w:cs="Times New Roman"/>
                <w:b/>
                <w:bCs/>
                <w:sz w:val="24"/>
                <w:szCs w:val="24"/>
              </w:rPr>
              <w:lastRenderedPageBreak/>
              <w:t xml:space="preserve">of stock of domestic expenditure arrears </w:t>
            </w:r>
          </w:p>
        </w:tc>
        <w:tc>
          <w:tcPr>
            <w:tcW w:w="1034" w:type="pct"/>
            <w:tcBorders>
              <w:top w:val="nil"/>
              <w:bottom w:val="single" w:sz="4" w:space="0" w:color="auto"/>
            </w:tcBorders>
            <w:shd w:val="clear" w:color="auto" w:fill="F2F2F2" w:themeFill="background1" w:themeFillShade="F2"/>
          </w:tcPr>
          <w:p w14:paraId="735012A6" w14:textId="77777777" w:rsidR="00D87020" w:rsidRPr="00F66630" w:rsidDel="00E43FA9"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lastRenderedPageBreak/>
              <w:t xml:space="preserve">Domestic arrears as of end 2018 reported in an </w:t>
            </w:r>
            <w:r w:rsidRPr="00F66630">
              <w:rPr>
                <w:rFonts w:ascii="Times New Roman" w:hAnsi="Times New Roman" w:cs="Times New Roman"/>
                <w:sz w:val="24"/>
                <w:szCs w:val="24"/>
              </w:rPr>
              <w:lastRenderedPageBreak/>
              <w:t xml:space="preserve">online </w:t>
            </w:r>
            <w:proofErr w:type="gramStart"/>
            <w:r w:rsidRPr="00F66630">
              <w:rPr>
                <w:rFonts w:ascii="Times New Roman" w:hAnsi="Times New Roman" w:cs="Times New Roman"/>
                <w:sz w:val="24"/>
                <w:szCs w:val="24"/>
              </w:rPr>
              <w:t>publicly-accessible</w:t>
            </w:r>
            <w:proofErr w:type="gramEnd"/>
            <w:r w:rsidRPr="00F66630">
              <w:rPr>
                <w:rFonts w:ascii="Times New Roman" w:hAnsi="Times New Roman" w:cs="Times New Roman"/>
                <w:sz w:val="24"/>
                <w:szCs w:val="24"/>
              </w:rPr>
              <w:t xml:space="preserve"> database, with a verification process in place and an arrears clearance framework established. </w:t>
            </w:r>
          </w:p>
        </w:tc>
        <w:tc>
          <w:tcPr>
            <w:tcW w:w="1034" w:type="pct"/>
            <w:tcBorders>
              <w:top w:val="nil"/>
              <w:bottom w:val="single" w:sz="4" w:space="0" w:color="auto"/>
            </w:tcBorders>
            <w:shd w:val="clear" w:color="auto" w:fill="F2F2F2" w:themeFill="background1" w:themeFillShade="F2"/>
          </w:tcPr>
          <w:p w14:paraId="61E85261" w14:textId="2DC9C771"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lastRenderedPageBreak/>
              <w:t xml:space="preserve">Domestic arrears as of end 2018 and end 2019 </w:t>
            </w:r>
            <w:r w:rsidRPr="00F66630">
              <w:rPr>
                <w:rFonts w:ascii="Times New Roman" w:hAnsi="Times New Roman" w:cs="Times New Roman"/>
                <w:sz w:val="24"/>
                <w:szCs w:val="24"/>
              </w:rPr>
              <w:lastRenderedPageBreak/>
              <w:t>reported in an online publicly - accessible database, with verification process in place.</w:t>
            </w:r>
          </w:p>
          <w:p w14:paraId="28AD389E" w14:textId="5849CC5A"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AND Percentage decline in the verified stock of domestic arrears at end 2019 compared to end 2018 meets target and is consistent with the state’s arrears clearance framework.             </w:t>
            </w:r>
          </w:p>
          <w:p w14:paraId="1861D606" w14:textId="77777777" w:rsidR="00D87020" w:rsidRPr="00F66630" w:rsidDel="00E43FA9"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w:t>
            </w: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At least a 5 percent decline or maintain stock below 5 billion naira</w:t>
            </w:r>
            <w:r w:rsidRPr="00F66630">
              <w:rPr>
                <w:rFonts w:ascii="Times New Roman" w:hAnsi="Times New Roman" w:cs="Times New Roman"/>
                <w:sz w:val="24"/>
                <w:szCs w:val="24"/>
              </w:rPr>
              <w:br/>
              <w:t>-</w:t>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More than 20 percent decline</w:t>
            </w:r>
          </w:p>
        </w:tc>
        <w:tc>
          <w:tcPr>
            <w:tcW w:w="1035" w:type="pct"/>
            <w:tcBorders>
              <w:top w:val="nil"/>
              <w:bottom w:val="single" w:sz="4" w:space="0" w:color="auto"/>
            </w:tcBorders>
            <w:shd w:val="clear" w:color="auto" w:fill="F2F2F2" w:themeFill="background1" w:themeFillShade="F2"/>
          </w:tcPr>
          <w:p w14:paraId="2F38B718" w14:textId="77777777" w:rsidR="00C70070" w:rsidRPr="00F66630" w:rsidRDefault="00C70070" w:rsidP="00C70070">
            <w:pPr>
              <w:spacing w:after="120"/>
              <w:rPr>
                <w:rFonts w:ascii="Times New Roman" w:hAnsi="Times New Roman" w:cs="Times New Roman"/>
                <w:sz w:val="24"/>
                <w:szCs w:val="24"/>
              </w:rPr>
            </w:pPr>
            <w:r w:rsidRPr="00F66630">
              <w:rPr>
                <w:rFonts w:ascii="Times New Roman" w:hAnsi="Times New Roman" w:cs="Times New Roman"/>
                <w:sz w:val="24"/>
                <w:szCs w:val="24"/>
                <w:u w:val="single"/>
              </w:rPr>
              <w:lastRenderedPageBreak/>
              <w:t>Basic Target:</w:t>
            </w:r>
            <w:r w:rsidRPr="00F66630">
              <w:rPr>
                <w:rFonts w:ascii="Times New Roman" w:hAnsi="Times New Roman" w:cs="Times New Roman"/>
                <w:sz w:val="24"/>
                <w:szCs w:val="24"/>
              </w:rPr>
              <w:t xml:space="preserve"> Domestic arrears as of end 2019 </w:t>
            </w:r>
            <w:r w:rsidRPr="00F66630">
              <w:rPr>
                <w:rFonts w:ascii="Times New Roman" w:hAnsi="Times New Roman" w:cs="Times New Roman"/>
                <w:sz w:val="24"/>
                <w:szCs w:val="24"/>
              </w:rPr>
              <w:lastRenderedPageBreak/>
              <w:t xml:space="preserve">and end 2020 reported in an online </w:t>
            </w:r>
            <w:proofErr w:type="gramStart"/>
            <w:r w:rsidRPr="00F66630">
              <w:rPr>
                <w:rFonts w:ascii="Times New Roman" w:hAnsi="Times New Roman" w:cs="Times New Roman"/>
                <w:sz w:val="24"/>
                <w:szCs w:val="24"/>
              </w:rPr>
              <w:t>publicly-accessible</w:t>
            </w:r>
            <w:proofErr w:type="gramEnd"/>
            <w:r w:rsidRPr="00F66630">
              <w:rPr>
                <w:rFonts w:ascii="Times New Roman" w:hAnsi="Times New Roman" w:cs="Times New Roman"/>
                <w:sz w:val="24"/>
                <w:szCs w:val="24"/>
              </w:rPr>
              <w:t xml:space="preserve"> database, with verification process in place. </w:t>
            </w:r>
          </w:p>
          <w:p w14:paraId="0C1AB701" w14:textId="0A014E71" w:rsidR="00D87020" w:rsidRPr="00F66630" w:rsidDel="00E43FA9" w:rsidRDefault="00C70070" w:rsidP="00014890">
            <w:pPr>
              <w:spacing w:after="120"/>
              <w:rPr>
                <w:rFonts w:ascii="Times New Roman" w:hAnsi="Times New Roman" w:cs="Times New Roman"/>
                <w:sz w:val="24"/>
                <w:szCs w:val="24"/>
              </w:rPr>
            </w:pPr>
            <w:r w:rsidRPr="00F66630">
              <w:rPr>
                <w:rFonts w:ascii="Times New Roman" w:hAnsi="Times New Roman" w:cs="Times New Roman"/>
                <w:sz w:val="24"/>
                <w:szCs w:val="24"/>
                <w:u w:val="single"/>
              </w:rPr>
              <w:t xml:space="preserve">Stretch </w:t>
            </w:r>
            <w:r w:rsidR="00224C70" w:rsidRPr="00F66630">
              <w:rPr>
                <w:rFonts w:ascii="Times New Roman" w:hAnsi="Times New Roman" w:cs="Times New Roman"/>
                <w:sz w:val="24"/>
                <w:szCs w:val="24"/>
                <w:u w:val="single"/>
              </w:rPr>
              <w:t>Target:</w:t>
            </w:r>
            <w:r w:rsidR="00224C70" w:rsidRPr="00F66630">
              <w:rPr>
                <w:rFonts w:ascii="Times New Roman" w:hAnsi="Times New Roman" w:cs="Times New Roman"/>
                <w:sz w:val="24"/>
                <w:szCs w:val="24"/>
              </w:rPr>
              <w:t xml:space="preserve"> </w:t>
            </w:r>
            <w:r w:rsidR="00D87020" w:rsidRPr="00F66630">
              <w:rPr>
                <w:rFonts w:ascii="Times New Roman" w:hAnsi="Times New Roman" w:cs="Times New Roman"/>
                <w:sz w:val="24"/>
                <w:szCs w:val="24"/>
              </w:rPr>
              <w:t xml:space="preserve">Domestic arrears as of end 2019 and end 2020 reported in an online </w:t>
            </w:r>
            <w:proofErr w:type="gramStart"/>
            <w:r w:rsidR="00D87020" w:rsidRPr="00F66630">
              <w:rPr>
                <w:rFonts w:ascii="Times New Roman" w:hAnsi="Times New Roman" w:cs="Times New Roman"/>
                <w:sz w:val="24"/>
                <w:szCs w:val="24"/>
              </w:rPr>
              <w:t>publicly-accessible</w:t>
            </w:r>
            <w:proofErr w:type="gramEnd"/>
            <w:r w:rsidR="00D87020" w:rsidRPr="00F66630">
              <w:rPr>
                <w:rFonts w:ascii="Times New Roman" w:hAnsi="Times New Roman" w:cs="Times New Roman"/>
                <w:sz w:val="24"/>
                <w:szCs w:val="24"/>
              </w:rPr>
              <w:t xml:space="preserve"> database, with verification process in place</w:t>
            </w:r>
            <w:r w:rsidR="008C6761" w:rsidRPr="00F66630">
              <w:rPr>
                <w:rFonts w:ascii="Times New Roman" w:hAnsi="Times New Roman" w:cs="Times New Roman"/>
                <w:sz w:val="24"/>
                <w:szCs w:val="24"/>
              </w:rPr>
              <w:t xml:space="preserve"> </w:t>
            </w:r>
            <w:r w:rsidR="00D87020" w:rsidRPr="00F66630">
              <w:rPr>
                <w:rFonts w:ascii="Times New Roman" w:hAnsi="Times New Roman" w:cs="Times New Roman"/>
                <w:sz w:val="24"/>
                <w:szCs w:val="24"/>
              </w:rPr>
              <w:t>AND</w:t>
            </w:r>
            <w:r w:rsidR="008C6761" w:rsidRPr="00F66630">
              <w:rPr>
                <w:rFonts w:ascii="Times New Roman" w:hAnsi="Times New Roman" w:cs="Times New Roman"/>
                <w:sz w:val="24"/>
                <w:szCs w:val="24"/>
              </w:rPr>
              <w:t xml:space="preserve"> </w:t>
            </w:r>
            <w:r w:rsidR="00C40B49" w:rsidRPr="00F66630">
              <w:rPr>
                <w:rFonts w:ascii="Times New Roman" w:hAnsi="Times New Roman" w:cs="Times New Roman"/>
                <w:sz w:val="24"/>
                <w:szCs w:val="24"/>
              </w:rPr>
              <w:t>at least a 5 percent decline in the verified stock of domestic arrears at end 2020 compared to end 2019 consistent with the state’s arrears clearance framework or maintain stock below 5 billion.</w:t>
            </w:r>
          </w:p>
        </w:tc>
        <w:tc>
          <w:tcPr>
            <w:tcW w:w="1031" w:type="pct"/>
            <w:tcBorders>
              <w:top w:val="nil"/>
              <w:bottom w:val="single" w:sz="4" w:space="0" w:color="auto"/>
            </w:tcBorders>
            <w:shd w:val="clear" w:color="auto" w:fill="F2F2F2" w:themeFill="background1" w:themeFillShade="F2"/>
          </w:tcPr>
          <w:p w14:paraId="77EB5FDA" w14:textId="77777777"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lastRenderedPageBreak/>
              <w:t xml:space="preserve">Domestic arrears as of end 2020 and end 2021 </w:t>
            </w:r>
            <w:r w:rsidRPr="00F66630">
              <w:rPr>
                <w:rFonts w:ascii="Times New Roman" w:hAnsi="Times New Roman" w:cs="Times New Roman"/>
                <w:sz w:val="24"/>
                <w:szCs w:val="24"/>
              </w:rPr>
              <w:lastRenderedPageBreak/>
              <w:t xml:space="preserve">reported in an online </w:t>
            </w:r>
            <w:proofErr w:type="gramStart"/>
            <w:r w:rsidRPr="00F66630">
              <w:rPr>
                <w:rFonts w:ascii="Times New Roman" w:hAnsi="Times New Roman" w:cs="Times New Roman"/>
                <w:sz w:val="24"/>
                <w:szCs w:val="24"/>
              </w:rPr>
              <w:t>publicly-accessible</w:t>
            </w:r>
            <w:proofErr w:type="gramEnd"/>
            <w:r w:rsidRPr="00F66630">
              <w:rPr>
                <w:rFonts w:ascii="Times New Roman" w:hAnsi="Times New Roman" w:cs="Times New Roman"/>
                <w:sz w:val="24"/>
                <w:szCs w:val="24"/>
              </w:rPr>
              <w:t xml:space="preserve"> database, with verification process in place.</w:t>
            </w:r>
          </w:p>
          <w:p w14:paraId="2732930B"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AND</w:t>
            </w:r>
          </w:p>
          <w:p w14:paraId="1BC92925" w14:textId="72D6DCF4"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Percentage decline in the verified stock of domestic arrears at end 2021 compared to end 2020 meets target and is consistent with the state’s arrears clearance framework.         </w:t>
            </w:r>
          </w:p>
          <w:p w14:paraId="0F3C3DD8"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w:t>
            </w: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At least a 5 percent decline or maintain stock below 5 billion naira</w:t>
            </w:r>
            <w:r w:rsidRPr="00F66630">
              <w:rPr>
                <w:rFonts w:ascii="Times New Roman" w:hAnsi="Times New Roman" w:cs="Times New Roman"/>
                <w:sz w:val="24"/>
                <w:szCs w:val="24"/>
              </w:rPr>
              <w:br/>
              <w:t>-</w:t>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More than 20 percent decline</w:t>
            </w:r>
          </w:p>
        </w:tc>
      </w:tr>
      <w:tr w:rsidR="00D87020" w:rsidRPr="00F66630" w14:paraId="0B3ACAF9" w14:textId="77777777" w:rsidTr="00452A4F">
        <w:trPr>
          <w:trHeight w:val="188"/>
        </w:trPr>
        <w:tc>
          <w:tcPr>
            <w:tcW w:w="866" w:type="pct"/>
            <w:shd w:val="clear" w:color="auto" w:fill="F2F2F2" w:themeFill="background1" w:themeFillShade="F2"/>
          </w:tcPr>
          <w:p w14:paraId="06742D18" w14:textId="060741DC" w:rsidR="00D87020" w:rsidRPr="00F66630" w:rsidRDefault="00D87020" w:rsidP="00D87020">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lastRenderedPageBreak/>
              <w:t>DLR 8 Basic value</w:t>
            </w:r>
          </w:p>
        </w:tc>
        <w:tc>
          <w:tcPr>
            <w:tcW w:w="1034" w:type="pct"/>
            <w:vMerge w:val="restart"/>
            <w:shd w:val="clear" w:color="auto" w:fill="F2F2F2" w:themeFill="background1" w:themeFillShade="F2"/>
          </w:tcPr>
          <w:p w14:paraId="4EA6142D" w14:textId="0F1C0D7D"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c>
          <w:tcPr>
            <w:tcW w:w="1034" w:type="pct"/>
            <w:shd w:val="clear" w:color="auto" w:fill="F2F2F2" w:themeFill="background1" w:themeFillShade="F2"/>
          </w:tcPr>
          <w:p w14:paraId="5460DD16" w14:textId="64620E96"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$1m per state</w:t>
            </w:r>
          </w:p>
        </w:tc>
        <w:tc>
          <w:tcPr>
            <w:tcW w:w="1035" w:type="pct"/>
            <w:shd w:val="clear" w:color="auto" w:fill="F2F2F2" w:themeFill="background1" w:themeFillShade="F2"/>
          </w:tcPr>
          <w:p w14:paraId="230E6D8F" w14:textId="5DA5C5F2"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c>
          <w:tcPr>
            <w:tcW w:w="1031" w:type="pct"/>
            <w:shd w:val="clear" w:color="auto" w:fill="F2F2F2" w:themeFill="background1" w:themeFillShade="F2"/>
          </w:tcPr>
          <w:p w14:paraId="7B8DD53F" w14:textId="2BF067E4"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r>
      <w:tr w:rsidR="00D87020" w:rsidRPr="00F66630" w14:paraId="028D00F3" w14:textId="77777777" w:rsidTr="00B90892">
        <w:trPr>
          <w:trHeight w:val="332"/>
        </w:trPr>
        <w:tc>
          <w:tcPr>
            <w:tcW w:w="866" w:type="pct"/>
            <w:tcBorders>
              <w:bottom w:val="single" w:sz="4" w:space="0" w:color="auto"/>
            </w:tcBorders>
            <w:shd w:val="clear" w:color="auto" w:fill="F2F2F2" w:themeFill="background1" w:themeFillShade="F2"/>
          </w:tcPr>
          <w:p w14:paraId="69897A50" w14:textId="71EDBB19" w:rsidR="00D87020" w:rsidRPr="00F66630" w:rsidRDefault="00D87020" w:rsidP="00D87020">
            <w:pPr>
              <w:pStyle w:val="ListParagraph"/>
              <w:ind w:left="0"/>
              <w:rPr>
                <w:rFonts w:ascii="Times New Roman" w:hAnsi="Times New Roman" w:cs="Times New Roman"/>
                <w:b/>
                <w:color w:val="C00000"/>
                <w:sz w:val="23"/>
                <w:szCs w:val="23"/>
              </w:rPr>
            </w:pPr>
            <w:r w:rsidRPr="00F66630">
              <w:rPr>
                <w:rFonts w:ascii="Times New Roman" w:hAnsi="Times New Roman" w:cs="Times New Roman"/>
                <w:i/>
                <w:color w:val="C00000"/>
                <w:sz w:val="23"/>
                <w:szCs w:val="23"/>
              </w:rPr>
              <w:t>DLR 8 Stretch value</w:t>
            </w:r>
          </w:p>
        </w:tc>
        <w:tc>
          <w:tcPr>
            <w:tcW w:w="1034" w:type="pct"/>
            <w:vMerge/>
            <w:tcBorders>
              <w:bottom w:val="single" w:sz="4" w:space="0" w:color="auto"/>
            </w:tcBorders>
            <w:shd w:val="clear" w:color="auto" w:fill="F2F2F2" w:themeFill="background1" w:themeFillShade="F2"/>
          </w:tcPr>
          <w:p w14:paraId="39C88430" w14:textId="77777777" w:rsidR="00D87020" w:rsidRPr="00F66630" w:rsidRDefault="00D87020" w:rsidP="00D87020">
            <w:pPr>
              <w:spacing w:after="120"/>
              <w:rPr>
                <w:rFonts w:ascii="Times New Roman" w:hAnsi="Times New Roman" w:cs="Times New Roman"/>
                <w:i/>
                <w:color w:val="C00000"/>
                <w:sz w:val="23"/>
                <w:szCs w:val="23"/>
              </w:rPr>
            </w:pPr>
          </w:p>
        </w:tc>
        <w:tc>
          <w:tcPr>
            <w:tcW w:w="1034" w:type="pct"/>
            <w:tcBorders>
              <w:bottom w:val="single" w:sz="4" w:space="0" w:color="auto"/>
            </w:tcBorders>
            <w:shd w:val="clear" w:color="auto" w:fill="F2F2F2" w:themeFill="background1" w:themeFillShade="F2"/>
          </w:tcPr>
          <w:p w14:paraId="5C83EDE4" w14:textId="457A4006"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$2m per state</w:t>
            </w:r>
          </w:p>
        </w:tc>
        <w:tc>
          <w:tcPr>
            <w:tcW w:w="1035" w:type="pct"/>
            <w:tcBorders>
              <w:bottom w:val="single" w:sz="4" w:space="0" w:color="auto"/>
            </w:tcBorders>
            <w:shd w:val="clear" w:color="auto" w:fill="F2F2F2" w:themeFill="background1" w:themeFillShade="F2"/>
          </w:tcPr>
          <w:p w14:paraId="4C4A3678" w14:textId="08DC8514"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c>
          <w:tcPr>
            <w:tcW w:w="1031" w:type="pct"/>
            <w:tcBorders>
              <w:bottom w:val="single" w:sz="4" w:space="0" w:color="auto"/>
            </w:tcBorders>
            <w:shd w:val="clear" w:color="auto" w:fill="F2F2F2" w:themeFill="background1" w:themeFillShade="F2"/>
          </w:tcPr>
          <w:p w14:paraId="56186FFC" w14:textId="40C6F6E8"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$2m per state</w:t>
            </w:r>
          </w:p>
        </w:tc>
      </w:tr>
      <w:tr w:rsidR="00D87020" w:rsidRPr="00F66630" w14:paraId="5B1BC5EA" w14:textId="77777777" w:rsidTr="00B1729C">
        <w:trPr>
          <w:trHeight w:val="3824"/>
        </w:trPr>
        <w:tc>
          <w:tcPr>
            <w:tcW w:w="866" w:type="pct"/>
            <w:tcBorders>
              <w:top w:val="nil"/>
            </w:tcBorders>
            <w:shd w:val="clear" w:color="auto" w:fill="FFFFFF" w:themeFill="background1"/>
          </w:tcPr>
          <w:p w14:paraId="766A1B0D" w14:textId="7333FA9E" w:rsidR="00D87020" w:rsidRPr="00F66630" w:rsidRDefault="00D87020" w:rsidP="00D87020">
            <w:pPr>
              <w:pStyle w:val="ListParagraph"/>
              <w:ind w:left="0"/>
              <w:rPr>
                <w:rFonts w:ascii="Times New Roman" w:hAnsi="Times New Roman" w:cs="Times New Roman"/>
                <w:b/>
                <w:sz w:val="24"/>
                <w:szCs w:val="24"/>
              </w:rPr>
            </w:pPr>
            <w:r w:rsidRPr="00F66630">
              <w:rPr>
                <w:rFonts w:ascii="Times New Roman" w:hAnsi="Times New Roman" w:cs="Times New Roman"/>
                <w:b/>
                <w:bCs/>
                <w:sz w:val="24"/>
                <w:szCs w:val="24"/>
              </w:rPr>
              <w:lastRenderedPageBreak/>
              <w:t>DLI 9: Improved debt sustainability</w:t>
            </w:r>
          </w:p>
        </w:tc>
        <w:tc>
          <w:tcPr>
            <w:tcW w:w="1034" w:type="pct"/>
            <w:tcBorders>
              <w:top w:val="nil"/>
            </w:tcBorders>
            <w:shd w:val="clear" w:color="auto" w:fill="FFFFFF" w:themeFill="background1"/>
          </w:tcPr>
          <w:p w14:paraId="6DA85D4D" w14:textId="366D5C0C"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Average monthly debt service deduction is &lt; 40% of gross FAAC allocation for FY2018</w:t>
            </w:r>
          </w:p>
          <w:p w14:paraId="5B09EF12" w14:textId="77777777"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AND</w:t>
            </w:r>
          </w:p>
          <w:p w14:paraId="6039D855" w14:textId="4CD1DEFE"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2018 as a share of total revenue for FY2018 meets target: </w:t>
            </w:r>
          </w:p>
          <w:p w14:paraId="262D1B02"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2B71E54F"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150%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4B76C969"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&lt; 125% </w:t>
            </w:r>
          </w:p>
        </w:tc>
        <w:tc>
          <w:tcPr>
            <w:tcW w:w="1034" w:type="pct"/>
            <w:tcBorders>
              <w:top w:val="nil"/>
            </w:tcBorders>
            <w:shd w:val="clear" w:color="auto" w:fill="FFFFFF" w:themeFill="background1"/>
          </w:tcPr>
          <w:p w14:paraId="2719A673" w14:textId="376F903D"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Average monthly debt service deduction is &lt; 40% of gross FAAC allocation for FY2019</w:t>
            </w:r>
          </w:p>
          <w:p w14:paraId="1887DAA9" w14:textId="77777777"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 xml:space="preserve">AND </w:t>
            </w:r>
          </w:p>
          <w:p w14:paraId="66749201" w14:textId="566EE57E"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2019 as a share of total revenue for FY2019 meets target: </w:t>
            </w:r>
          </w:p>
          <w:p w14:paraId="2112118C"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4D37F1E3"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140%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76477CFC"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115%</w:t>
            </w:r>
          </w:p>
        </w:tc>
        <w:tc>
          <w:tcPr>
            <w:tcW w:w="1035" w:type="pct"/>
            <w:tcBorders>
              <w:top w:val="nil"/>
            </w:tcBorders>
            <w:shd w:val="clear" w:color="auto" w:fill="FFFFFF" w:themeFill="background1"/>
          </w:tcPr>
          <w:p w14:paraId="1510F3B9" w14:textId="44843E34"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2020 as a share of total revenue for FY2020 meets target: </w:t>
            </w:r>
          </w:p>
          <w:p w14:paraId="4662AA3E"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5229E28A" w14:textId="5556FB50"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w:t>
            </w:r>
            <w:r w:rsidR="00461A6C" w:rsidRPr="00F66630">
              <w:rPr>
                <w:rFonts w:ascii="Times New Roman" w:hAnsi="Times New Roman" w:cs="Times New Roman"/>
                <w:sz w:val="24"/>
                <w:szCs w:val="24"/>
              </w:rPr>
              <w:t>5</w:t>
            </w:r>
            <w:r w:rsidRPr="00F66630">
              <w:rPr>
                <w:rFonts w:ascii="Times New Roman" w:hAnsi="Times New Roman" w:cs="Times New Roman"/>
                <w:sz w:val="24"/>
                <w:szCs w:val="24"/>
              </w:rPr>
              <w:t>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2BE4B60E" w14:textId="04F40814"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w:t>
            </w:r>
            <w:r w:rsidR="00461A6C" w:rsidRPr="00F66630">
              <w:rPr>
                <w:rFonts w:ascii="Times New Roman" w:hAnsi="Times New Roman" w:cs="Times New Roman"/>
                <w:sz w:val="24"/>
                <w:szCs w:val="24"/>
              </w:rPr>
              <w:t>2</w:t>
            </w:r>
            <w:r w:rsidRPr="00F66630">
              <w:rPr>
                <w:rFonts w:ascii="Times New Roman" w:hAnsi="Times New Roman" w:cs="Times New Roman"/>
                <w:sz w:val="24"/>
                <w:szCs w:val="24"/>
              </w:rPr>
              <w:t>5%</w:t>
            </w:r>
          </w:p>
        </w:tc>
        <w:tc>
          <w:tcPr>
            <w:tcW w:w="1031" w:type="pct"/>
            <w:tcBorders>
              <w:top w:val="nil"/>
            </w:tcBorders>
            <w:shd w:val="clear" w:color="auto" w:fill="FFFFFF" w:themeFill="background1"/>
          </w:tcPr>
          <w:p w14:paraId="0028FC79" w14:textId="7B88D9D1"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Average monthly debt service deduction is &lt; 40% of gross FAAC allocation for FY2021</w:t>
            </w:r>
          </w:p>
          <w:p w14:paraId="32233BFC" w14:textId="77777777" w:rsidR="00D87020" w:rsidRPr="00F66630" w:rsidRDefault="00D87020" w:rsidP="00D87020">
            <w:pPr>
              <w:spacing w:after="120"/>
              <w:rPr>
                <w:rFonts w:ascii="Times New Roman" w:hAnsi="Times New Roman" w:cs="Times New Roman"/>
                <w:sz w:val="24"/>
                <w:szCs w:val="24"/>
              </w:rPr>
            </w:pPr>
            <w:r w:rsidRPr="00F66630">
              <w:rPr>
                <w:rFonts w:ascii="Times New Roman" w:hAnsi="Times New Roman" w:cs="Times New Roman"/>
                <w:sz w:val="24"/>
                <w:szCs w:val="24"/>
              </w:rPr>
              <w:t>AND</w:t>
            </w:r>
          </w:p>
          <w:p w14:paraId="704DE3CE" w14:textId="0CC11010"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2021 as a share of total revenue for FY 2021 meets target: </w:t>
            </w:r>
          </w:p>
          <w:p w14:paraId="77293F42"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046CB6B3" w14:textId="77777777" w:rsidR="00D87020" w:rsidRPr="00F66630" w:rsidRDefault="00D87020" w:rsidP="00D87020">
            <w:pPr>
              <w:rPr>
                <w:rFonts w:ascii="Times New Roman" w:hAnsi="Times New Roman" w:cs="Times New Roman"/>
                <w:sz w:val="24"/>
                <w:szCs w:val="24"/>
              </w:rPr>
            </w:pPr>
            <w:r w:rsidRPr="00F66630">
              <w:rPr>
                <w:rFonts w:ascii="Times New Roman" w:hAnsi="Times New Roman" w:cs="Times New Roman"/>
                <w:sz w:val="24"/>
                <w:szCs w:val="24"/>
              </w:rPr>
              <w:t>&lt; 120%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59A99DE8" w14:textId="77777777" w:rsidR="00D87020" w:rsidRPr="00F66630" w:rsidRDefault="00D87020" w:rsidP="00D87020">
            <w:pPr>
              <w:rPr>
                <w:rFonts w:ascii="Times New Roman" w:hAnsi="Times New Roman" w:cs="Times New Roman"/>
                <w:b/>
                <w:sz w:val="24"/>
                <w:szCs w:val="24"/>
              </w:rPr>
            </w:pPr>
            <w:r w:rsidRPr="00F66630">
              <w:rPr>
                <w:rFonts w:ascii="Times New Roman" w:hAnsi="Times New Roman" w:cs="Times New Roman"/>
                <w:sz w:val="24"/>
                <w:szCs w:val="24"/>
              </w:rPr>
              <w:t>&lt; 95%</w:t>
            </w:r>
          </w:p>
        </w:tc>
      </w:tr>
      <w:tr w:rsidR="00D87020" w:rsidRPr="00F66630" w14:paraId="50AED826" w14:textId="77777777" w:rsidTr="00452A4F">
        <w:trPr>
          <w:trHeight w:val="251"/>
        </w:trPr>
        <w:tc>
          <w:tcPr>
            <w:tcW w:w="866" w:type="pct"/>
          </w:tcPr>
          <w:p w14:paraId="4D752913" w14:textId="23FF111F" w:rsidR="00D87020" w:rsidRPr="00F66630" w:rsidRDefault="00D87020" w:rsidP="00D87020">
            <w:pPr>
              <w:pStyle w:val="ListParagraph"/>
              <w:ind w:left="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DLR 9 Basic value</w:t>
            </w:r>
          </w:p>
        </w:tc>
        <w:tc>
          <w:tcPr>
            <w:tcW w:w="1034" w:type="pct"/>
          </w:tcPr>
          <w:p w14:paraId="2D8806CF" w14:textId="5CAD98BD"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c>
          <w:tcPr>
            <w:tcW w:w="1034" w:type="pct"/>
          </w:tcPr>
          <w:p w14:paraId="567A113C" w14:textId="6C3547C1"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c>
          <w:tcPr>
            <w:tcW w:w="1035" w:type="pct"/>
          </w:tcPr>
          <w:p w14:paraId="23F40310" w14:textId="74BE45A3"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c>
          <w:tcPr>
            <w:tcW w:w="1031" w:type="pct"/>
          </w:tcPr>
          <w:p w14:paraId="6326559A" w14:textId="233B806A"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 xml:space="preserve"> $1m per state</w:t>
            </w:r>
          </w:p>
        </w:tc>
      </w:tr>
      <w:tr w:rsidR="00D87020" w:rsidRPr="00F66630" w14:paraId="1AF67C40" w14:textId="77777777" w:rsidTr="00452A4F">
        <w:trPr>
          <w:trHeight w:val="332"/>
        </w:trPr>
        <w:tc>
          <w:tcPr>
            <w:tcW w:w="866" w:type="pct"/>
          </w:tcPr>
          <w:p w14:paraId="5EA71686" w14:textId="0388F56E" w:rsidR="00D87020" w:rsidRPr="00F66630" w:rsidRDefault="00D87020" w:rsidP="00D87020">
            <w:pPr>
              <w:pStyle w:val="ListParagraph"/>
              <w:ind w:left="0"/>
              <w:rPr>
                <w:rFonts w:ascii="Times New Roman" w:hAnsi="Times New Roman" w:cs="Times New Roman"/>
                <w:b/>
                <w:color w:val="C00000"/>
                <w:sz w:val="23"/>
                <w:szCs w:val="23"/>
              </w:rPr>
            </w:pPr>
            <w:r w:rsidRPr="00F66630">
              <w:rPr>
                <w:rFonts w:ascii="Times New Roman" w:hAnsi="Times New Roman" w:cs="Times New Roman"/>
                <w:i/>
                <w:color w:val="C00000"/>
                <w:sz w:val="23"/>
                <w:szCs w:val="23"/>
              </w:rPr>
              <w:t>DLR 9 Stretch value</w:t>
            </w:r>
          </w:p>
        </w:tc>
        <w:tc>
          <w:tcPr>
            <w:tcW w:w="1034" w:type="pct"/>
          </w:tcPr>
          <w:p w14:paraId="5E99AC64" w14:textId="4EFA9BE4"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$1.5m per state</w:t>
            </w:r>
          </w:p>
        </w:tc>
        <w:tc>
          <w:tcPr>
            <w:tcW w:w="1034" w:type="pct"/>
          </w:tcPr>
          <w:p w14:paraId="48775D2E" w14:textId="2521D4F9"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$1.5m per state</w:t>
            </w:r>
          </w:p>
        </w:tc>
        <w:tc>
          <w:tcPr>
            <w:tcW w:w="1035" w:type="pct"/>
          </w:tcPr>
          <w:p w14:paraId="263E9A49" w14:textId="373A1DFA"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$1.5m per state</w:t>
            </w:r>
          </w:p>
        </w:tc>
        <w:tc>
          <w:tcPr>
            <w:tcW w:w="1031" w:type="pct"/>
          </w:tcPr>
          <w:p w14:paraId="4AB19D90" w14:textId="5BE6B399" w:rsidR="00D87020" w:rsidRPr="00F66630" w:rsidRDefault="00D87020" w:rsidP="00D87020">
            <w:pPr>
              <w:spacing w:after="120"/>
              <w:rPr>
                <w:rFonts w:ascii="Times New Roman" w:hAnsi="Times New Roman" w:cs="Times New Roman"/>
                <w:i/>
                <w:color w:val="C00000"/>
                <w:sz w:val="23"/>
                <w:szCs w:val="23"/>
              </w:rPr>
            </w:pPr>
            <w:r w:rsidRPr="00F66630">
              <w:rPr>
                <w:rFonts w:ascii="Times New Roman" w:hAnsi="Times New Roman" w:cs="Times New Roman"/>
                <w:i/>
                <w:color w:val="C00000"/>
                <w:sz w:val="23"/>
                <w:szCs w:val="23"/>
              </w:rPr>
              <w:t>$1.5m per state</w:t>
            </w:r>
          </w:p>
        </w:tc>
      </w:tr>
      <w:bookmarkEnd w:id="7"/>
    </w:tbl>
    <w:p w14:paraId="1DF08EB9" w14:textId="77777777" w:rsidR="006F2080" w:rsidRPr="00F66630" w:rsidRDefault="006F2080">
      <w:pPr>
        <w:rPr>
          <w:rFonts w:ascii="Times New Roman" w:eastAsia="Times New Roman" w:hAnsi="Times New Roman" w:cs="Times New Roman"/>
          <w:b/>
          <w:color w:val="000000"/>
          <w:sz w:val="24"/>
          <w:szCs w:val="24"/>
          <w:lang w:eastAsia="en-GB"/>
        </w:rPr>
      </w:pPr>
      <w:r w:rsidRPr="00F66630">
        <w:rPr>
          <w:b/>
        </w:rPr>
        <w:br w:type="page"/>
      </w:r>
    </w:p>
    <w:p w14:paraId="529C1B09" w14:textId="6F0CD3E4" w:rsidR="006F2080" w:rsidRPr="00F66630" w:rsidRDefault="006F2080" w:rsidP="006F2080">
      <w:pPr>
        <w:pStyle w:val="Minh"/>
        <w:numPr>
          <w:ilvl w:val="0"/>
          <w:numId w:val="9"/>
        </w:numPr>
        <w:spacing w:before="0"/>
        <w:jc w:val="left"/>
        <w:outlineLvl w:val="0"/>
        <w:rPr>
          <w:b/>
        </w:rPr>
      </w:pPr>
      <w:bookmarkStart w:id="9" w:name="_Toc107345840"/>
      <w:r w:rsidRPr="00F66630">
        <w:rPr>
          <w:b/>
        </w:rPr>
        <w:lastRenderedPageBreak/>
        <w:t>NEW DISBURSEMENT-LINKED INDICATORS (DLIs) AND ELIGIBLITY CRITERIA</w:t>
      </w:r>
      <w:r w:rsidR="00E44BD2" w:rsidRPr="00F66630">
        <w:rPr>
          <w:b/>
        </w:rPr>
        <w:t xml:space="preserve"> (EC)</w:t>
      </w:r>
      <w:bookmarkEnd w:id="9"/>
    </w:p>
    <w:p w14:paraId="779892A5" w14:textId="3B3259F7" w:rsidR="0076089F" w:rsidRPr="00F66630" w:rsidRDefault="0076089F" w:rsidP="0050360D">
      <w:pPr>
        <w:pStyle w:val="Minh"/>
        <w:numPr>
          <w:ilvl w:val="0"/>
          <w:numId w:val="70"/>
        </w:numPr>
        <w:spacing w:before="0"/>
        <w:jc w:val="left"/>
        <w:outlineLvl w:val="2"/>
        <w:rPr>
          <w:b/>
        </w:rPr>
      </w:pPr>
      <w:bookmarkStart w:id="10" w:name="_Toc107345841"/>
      <w:r w:rsidRPr="00F66630">
        <w:rPr>
          <w:b/>
        </w:rPr>
        <w:t xml:space="preserve">Numbering of New </w:t>
      </w:r>
      <w:r w:rsidR="0065441A" w:rsidRPr="00F66630">
        <w:rPr>
          <w:b/>
        </w:rPr>
        <w:t>Disbursement-Linked Indicators (DLI)</w:t>
      </w:r>
      <w:bookmarkEnd w:id="10"/>
    </w:p>
    <w:p w14:paraId="3562523C" w14:textId="159A88CD" w:rsidR="00D91598" w:rsidRPr="00F66630" w:rsidRDefault="004B6B90" w:rsidP="00D91598">
      <w:pPr>
        <w:spacing w:after="0" w:line="240" w:lineRule="auto"/>
        <w:rPr>
          <w:rFonts w:ascii="Times New Roman" w:eastAsia="Times New Roman" w:hAnsi="Times New Roman" w:cs="Times New Roman"/>
          <w:sz w:val="24"/>
          <w:szCs w:val="24"/>
        </w:rPr>
      </w:pPr>
      <w:r w:rsidRPr="00F66630">
        <w:rPr>
          <w:rFonts w:ascii="Times New Roman" w:eastAsia="Times New Roman" w:hAnsi="Times New Roman" w:cs="Times New Roman"/>
          <w:sz w:val="24"/>
          <w:szCs w:val="24"/>
        </w:rPr>
        <w:t xml:space="preserve">During the consultations </w:t>
      </w:r>
      <w:r w:rsidR="00832CAC" w:rsidRPr="00F66630">
        <w:rPr>
          <w:rFonts w:ascii="Times New Roman" w:eastAsia="Times New Roman" w:hAnsi="Times New Roman" w:cs="Times New Roman"/>
          <w:sz w:val="24"/>
          <w:szCs w:val="24"/>
        </w:rPr>
        <w:t>to design the new COVID-19 responsive DLIs,</w:t>
      </w:r>
      <w:r w:rsidR="00F20FF4" w:rsidRPr="00F66630">
        <w:rPr>
          <w:rFonts w:ascii="Times New Roman" w:eastAsia="Times New Roman" w:hAnsi="Times New Roman" w:cs="Times New Roman"/>
          <w:sz w:val="24"/>
          <w:szCs w:val="24"/>
        </w:rPr>
        <w:t xml:space="preserve"> the new</w:t>
      </w:r>
      <w:r w:rsidR="00832CAC" w:rsidRPr="00F66630">
        <w:rPr>
          <w:rFonts w:ascii="Times New Roman" w:eastAsia="Times New Roman" w:hAnsi="Times New Roman" w:cs="Times New Roman"/>
          <w:sz w:val="24"/>
          <w:szCs w:val="24"/>
        </w:rPr>
        <w:t xml:space="preserve"> DLIs were </w:t>
      </w:r>
      <w:r w:rsidRPr="00F66630">
        <w:rPr>
          <w:rFonts w:ascii="Times New Roman" w:eastAsia="Times New Roman" w:hAnsi="Times New Roman" w:cs="Times New Roman"/>
          <w:sz w:val="24"/>
          <w:szCs w:val="24"/>
        </w:rPr>
        <w:t>numbered as New DLI 1-8.</w:t>
      </w:r>
      <w:r w:rsidR="00832CAC" w:rsidRPr="00F66630">
        <w:rPr>
          <w:rFonts w:ascii="Times New Roman" w:eastAsia="Times New Roman" w:hAnsi="Times New Roman" w:cs="Times New Roman"/>
          <w:sz w:val="24"/>
          <w:szCs w:val="24"/>
        </w:rPr>
        <w:t xml:space="preserve"> </w:t>
      </w:r>
      <w:r w:rsidR="00C73BFE" w:rsidRPr="00F66630">
        <w:rPr>
          <w:rFonts w:ascii="Times New Roman" w:eastAsia="Times New Roman" w:hAnsi="Times New Roman" w:cs="Times New Roman"/>
          <w:sz w:val="24"/>
          <w:szCs w:val="24"/>
        </w:rPr>
        <w:t>For</w:t>
      </w:r>
      <w:r w:rsidR="00832CAC" w:rsidRPr="00F66630">
        <w:rPr>
          <w:rFonts w:ascii="Times New Roman" w:eastAsia="Times New Roman" w:hAnsi="Times New Roman" w:cs="Times New Roman"/>
          <w:sz w:val="24"/>
          <w:szCs w:val="24"/>
        </w:rPr>
        <w:t xml:space="preserve"> the Program Restructuring</w:t>
      </w:r>
      <w:r w:rsidR="00CB3E27" w:rsidRPr="00F66630">
        <w:rPr>
          <w:rFonts w:ascii="Times New Roman" w:eastAsia="Times New Roman" w:hAnsi="Times New Roman" w:cs="Times New Roman"/>
          <w:sz w:val="24"/>
          <w:szCs w:val="24"/>
        </w:rPr>
        <w:t xml:space="preserve">, </w:t>
      </w:r>
      <w:r w:rsidRPr="00F66630">
        <w:rPr>
          <w:rFonts w:ascii="Times New Roman" w:eastAsia="Times New Roman" w:hAnsi="Times New Roman" w:cs="Times New Roman"/>
          <w:sz w:val="24"/>
          <w:szCs w:val="24"/>
        </w:rPr>
        <w:t xml:space="preserve">the 8 NEW DLIs were grouped into 4 NEW DLIs and numbered DLIs 10-13 (as they are being added </w:t>
      </w:r>
      <w:r w:rsidR="00054AA1" w:rsidRPr="00F66630">
        <w:rPr>
          <w:rFonts w:ascii="Times New Roman" w:eastAsia="Times New Roman" w:hAnsi="Times New Roman" w:cs="Times New Roman"/>
          <w:sz w:val="24"/>
          <w:szCs w:val="24"/>
        </w:rPr>
        <w:t>to the Program’s</w:t>
      </w:r>
      <w:r w:rsidRPr="00F66630">
        <w:rPr>
          <w:rFonts w:ascii="Times New Roman" w:eastAsia="Times New Roman" w:hAnsi="Times New Roman" w:cs="Times New Roman"/>
          <w:sz w:val="24"/>
          <w:szCs w:val="24"/>
        </w:rPr>
        <w:t xml:space="preserve"> the original 9 DLIs)</w:t>
      </w:r>
      <w:r w:rsidR="00CB3E27" w:rsidRPr="00F66630">
        <w:rPr>
          <w:rFonts w:ascii="Times New Roman" w:eastAsia="Times New Roman" w:hAnsi="Times New Roman" w:cs="Times New Roman"/>
          <w:sz w:val="24"/>
          <w:szCs w:val="24"/>
        </w:rPr>
        <w:t xml:space="preserve"> in the amendment to the Program Financing Agreement (FA)</w:t>
      </w:r>
      <w:r w:rsidRPr="00F66630">
        <w:rPr>
          <w:rFonts w:ascii="Times New Roman" w:eastAsia="Times New Roman" w:hAnsi="Times New Roman" w:cs="Times New Roman"/>
          <w:sz w:val="24"/>
          <w:szCs w:val="24"/>
        </w:rPr>
        <w:t xml:space="preserve">. The substance of the results States </w:t>
      </w:r>
      <w:proofErr w:type="gramStart"/>
      <w:r w:rsidR="00275A1E" w:rsidRPr="00F66630">
        <w:rPr>
          <w:rFonts w:ascii="Times New Roman" w:eastAsia="Times New Roman" w:hAnsi="Times New Roman" w:cs="Times New Roman"/>
          <w:sz w:val="24"/>
          <w:szCs w:val="24"/>
        </w:rPr>
        <w:t>need</w:t>
      </w:r>
      <w:proofErr w:type="gramEnd"/>
      <w:r w:rsidR="00275A1E" w:rsidRPr="00F66630">
        <w:rPr>
          <w:rFonts w:ascii="Times New Roman" w:eastAsia="Times New Roman" w:hAnsi="Times New Roman" w:cs="Times New Roman"/>
          <w:sz w:val="24"/>
          <w:szCs w:val="24"/>
        </w:rPr>
        <w:t xml:space="preserve"> </w:t>
      </w:r>
      <w:r w:rsidRPr="00F66630">
        <w:rPr>
          <w:rFonts w:ascii="Times New Roman" w:eastAsia="Times New Roman" w:hAnsi="Times New Roman" w:cs="Times New Roman"/>
          <w:sz w:val="24"/>
          <w:szCs w:val="24"/>
        </w:rPr>
        <w:t>to achieve is the same and the value of each result per State is also the same. Below is a mapping for reference.</w:t>
      </w:r>
      <w:r w:rsidR="00275A1E" w:rsidRPr="00F66630">
        <w:rPr>
          <w:rFonts w:ascii="Times New Roman" w:eastAsia="Times New Roman" w:hAnsi="Times New Roman" w:cs="Times New Roman"/>
          <w:sz w:val="24"/>
          <w:szCs w:val="24"/>
        </w:rPr>
        <w:t xml:space="preserve"> </w:t>
      </w:r>
      <w:r w:rsidR="00D91598" w:rsidRPr="00F66630">
        <w:rPr>
          <w:rFonts w:ascii="Times New Roman" w:eastAsia="Times New Roman" w:hAnsi="Times New Roman" w:cs="Times New Roman"/>
          <w:sz w:val="24"/>
          <w:szCs w:val="24"/>
        </w:rPr>
        <w:t xml:space="preserve">Further </w:t>
      </w:r>
      <w:r w:rsidR="00CB3E27" w:rsidRPr="00F66630">
        <w:rPr>
          <w:rFonts w:ascii="Times New Roman" w:eastAsia="Times New Roman" w:hAnsi="Times New Roman" w:cs="Times New Roman"/>
          <w:sz w:val="24"/>
          <w:szCs w:val="24"/>
        </w:rPr>
        <w:t xml:space="preserve">adjustments DLIs </w:t>
      </w:r>
      <w:r w:rsidR="00D91598" w:rsidRPr="00F66630">
        <w:rPr>
          <w:rFonts w:ascii="Times New Roman" w:eastAsia="Times New Roman" w:hAnsi="Times New Roman" w:cs="Times New Roman"/>
          <w:sz w:val="24"/>
          <w:szCs w:val="24"/>
        </w:rPr>
        <w:t>made later for the Additional Financing are highlighted in yellow below in the DLI Matrix.</w:t>
      </w:r>
    </w:p>
    <w:p w14:paraId="344FB7E0" w14:textId="77777777" w:rsidR="004B6B90" w:rsidRPr="00F66630" w:rsidRDefault="004B6B90" w:rsidP="004B6B90">
      <w:pPr>
        <w:spacing w:after="0" w:line="240" w:lineRule="auto"/>
        <w:rPr>
          <w:rFonts w:ascii="Times New Roman" w:eastAsia="Calibri"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042"/>
        <w:gridCol w:w="2966"/>
        <w:gridCol w:w="2966"/>
        <w:gridCol w:w="2966"/>
      </w:tblGrid>
      <w:tr w:rsidR="004B6B90" w:rsidRPr="00F66630" w14:paraId="7FC2F5F4" w14:textId="77777777" w:rsidTr="00C73BFE">
        <w:tc>
          <w:tcPr>
            <w:tcW w:w="2708" w:type="pct"/>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14DDECB" w14:textId="35A51025" w:rsidR="004B6B90" w:rsidRPr="00F66630" w:rsidRDefault="00C73BFE" w:rsidP="004B6B90">
            <w:pPr>
              <w:spacing w:after="0" w:line="240" w:lineRule="auto"/>
              <w:rPr>
                <w:rFonts w:ascii="Times New Roman" w:eastAsia="Calibri" w:hAnsi="Times New Roman" w:cs="Times New Roman"/>
                <w:b/>
                <w:bCs/>
                <w:sz w:val="24"/>
                <w:szCs w:val="24"/>
              </w:rPr>
            </w:pPr>
            <w:r w:rsidRPr="00F66630">
              <w:rPr>
                <w:rFonts w:ascii="Times New Roman" w:eastAsia="Calibri" w:hAnsi="Times New Roman" w:cs="Times New Roman"/>
                <w:b/>
                <w:bCs/>
                <w:sz w:val="24"/>
                <w:szCs w:val="24"/>
              </w:rPr>
              <w:t xml:space="preserve">Numbering during </w:t>
            </w:r>
            <w:r w:rsidR="00275A1E" w:rsidRPr="00F66630">
              <w:rPr>
                <w:rFonts w:ascii="Times New Roman" w:eastAsia="Calibri" w:hAnsi="Times New Roman" w:cs="Times New Roman"/>
                <w:b/>
                <w:bCs/>
                <w:sz w:val="24"/>
                <w:szCs w:val="24"/>
              </w:rPr>
              <w:t xml:space="preserve">the </w:t>
            </w:r>
            <w:r w:rsidRPr="00F66630">
              <w:rPr>
                <w:rFonts w:ascii="Times New Roman" w:eastAsia="Calibri" w:hAnsi="Times New Roman" w:cs="Times New Roman"/>
                <w:b/>
                <w:bCs/>
                <w:sz w:val="24"/>
                <w:szCs w:val="24"/>
              </w:rPr>
              <w:t xml:space="preserve">Consultative </w:t>
            </w:r>
            <w:r w:rsidR="00275A1E" w:rsidRPr="00F66630">
              <w:rPr>
                <w:rFonts w:ascii="Times New Roman" w:eastAsia="Calibri" w:hAnsi="Times New Roman" w:cs="Times New Roman"/>
                <w:b/>
                <w:bCs/>
                <w:sz w:val="24"/>
                <w:szCs w:val="24"/>
              </w:rPr>
              <w:t>Phase</w:t>
            </w:r>
          </w:p>
        </w:tc>
        <w:tc>
          <w:tcPr>
            <w:tcW w:w="22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90A74" w14:textId="7457D923" w:rsidR="004B6B90" w:rsidRPr="00F66630" w:rsidRDefault="00C73BFE" w:rsidP="004B6B90">
            <w:pPr>
              <w:spacing w:after="0" w:line="240" w:lineRule="auto"/>
              <w:rPr>
                <w:rFonts w:ascii="Times New Roman" w:eastAsia="Calibri" w:hAnsi="Times New Roman" w:cs="Times New Roman"/>
                <w:b/>
                <w:bCs/>
                <w:sz w:val="24"/>
                <w:szCs w:val="24"/>
              </w:rPr>
            </w:pPr>
            <w:r w:rsidRPr="00F66630">
              <w:rPr>
                <w:rFonts w:ascii="Times New Roman" w:eastAsia="Calibri" w:hAnsi="Times New Roman" w:cs="Times New Roman"/>
                <w:b/>
                <w:bCs/>
                <w:sz w:val="24"/>
                <w:szCs w:val="24"/>
              </w:rPr>
              <w:t xml:space="preserve">Program Restructuring </w:t>
            </w:r>
            <w:r w:rsidR="00D91598" w:rsidRPr="00F66630">
              <w:rPr>
                <w:rFonts w:ascii="Times New Roman" w:eastAsia="Calibri" w:hAnsi="Times New Roman" w:cs="Times New Roman"/>
                <w:b/>
                <w:bCs/>
                <w:sz w:val="24"/>
                <w:szCs w:val="24"/>
              </w:rPr>
              <w:t>and Additional Financing</w:t>
            </w:r>
            <w:r w:rsidRPr="00F66630">
              <w:rPr>
                <w:rFonts w:ascii="Times New Roman" w:eastAsia="Calibri" w:hAnsi="Times New Roman" w:cs="Times New Roman"/>
                <w:b/>
                <w:bCs/>
                <w:sz w:val="24"/>
                <w:szCs w:val="24"/>
              </w:rPr>
              <w:t xml:space="preserve"> - Current </w:t>
            </w:r>
            <w:r w:rsidR="002B3FBA" w:rsidRPr="00F66630">
              <w:rPr>
                <w:rFonts w:ascii="Times New Roman" w:eastAsia="Calibri" w:hAnsi="Times New Roman" w:cs="Times New Roman"/>
                <w:b/>
                <w:bCs/>
                <w:sz w:val="24"/>
                <w:szCs w:val="24"/>
              </w:rPr>
              <w:t xml:space="preserve">DLI </w:t>
            </w:r>
            <w:r w:rsidRPr="00F66630">
              <w:rPr>
                <w:rFonts w:ascii="Times New Roman" w:eastAsia="Calibri" w:hAnsi="Times New Roman" w:cs="Times New Roman"/>
                <w:b/>
                <w:bCs/>
                <w:sz w:val="24"/>
                <w:szCs w:val="24"/>
              </w:rPr>
              <w:t>Numbering</w:t>
            </w:r>
          </w:p>
        </w:tc>
      </w:tr>
      <w:tr w:rsidR="004B6B90" w:rsidRPr="00F66630" w14:paraId="501476E2"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5628E7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DLI number</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100831C"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Value per state US$ million</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BB2AA34"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number</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0386F59" w14:textId="1940114E"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Value per state US$</w:t>
            </w:r>
            <w:r w:rsidR="00391AC2" w:rsidRPr="00F66630">
              <w:rPr>
                <w:rFonts w:ascii="Times New Roman" w:eastAsia="Calibri" w:hAnsi="Times New Roman" w:cs="Times New Roman"/>
                <w:sz w:val="24"/>
                <w:szCs w:val="24"/>
              </w:rPr>
              <w:t xml:space="preserve"> million</w:t>
            </w:r>
          </w:p>
        </w:tc>
      </w:tr>
      <w:tr w:rsidR="004B6B90" w:rsidRPr="00F66630" w14:paraId="0312D829"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C2195DE"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1</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F7F3059"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5.0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7D6ECA34" w14:textId="71117D63"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13</w:t>
            </w:r>
            <w:r w:rsidR="00A43E65" w:rsidRPr="00F66630">
              <w:rPr>
                <w:rFonts w:ascii="Times New Roman" w:eastAsia="Calibri" w:hAnsi="Times New Roman" w:cs="Times New Roman"/>
                <w:sz w:val="24"/>
                <w:szCs w:val="24"/>
              </w:rPr>
              <w:t>.1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E50211B"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5.0</w:t>
            </w:r>
          </w:p>
        </w:tc>
      </w:tr>
      <w:tr w:rsidR="00391AC2" w:rsidRPr="00F66630" w14:paraId="396B9C05"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A7A96D9" w14:textId="0A5A3DBE" w:rsidR="00391AC2" w:rsidRPr="00F66630" w:rsidRDefault="00391AC2" w:rsidP="00391AC2">
            <w:pPr>
              <w:spacing w:after="0" w:line="240" w:lineRule="auto"/>
              <w:rPr>
                <w:rFonts w:ascii="Times New Roman" w:eastAsia="Calibri" w:hAnsi="Times New Roman" w:cs="Times New Roman"/>
                <w:color w:val="000000"/>
                <w:sz w:val="24"/>
                <w:szCs w:val="24"/>
              </w:rPr>
            </w:pPr>
            <w:r w:rsidRPr="00F66630">
              <w:rPr>
                <w:rFonts w:ascii="Times New Roman" w:eastAsia="Calibri" w:hAnsi="Times New Roman" w:cs="Times New Roman"/>
                <w:color w:val="000000"/>
                <w:sz w:val="24"/>
                <w:szCs w:val="24"/>
              </w:rPr>
              <w:t>n/a</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BF9D290" w14:textId="3333D531" w:rsidR="00391AC2" w:rsidRPr="00F66630" w:rsidRDefault="00391AC2" w:rsidP="00391AC2">
            <w:pPr>
              <w:spacing w:after="0" w:line="240" w:lineRule="auto"/>
              <w:rPr>
                <w:rFonts w:ascii="Times New Roman" w:eastAsia="Calibri" w:hAnsi="Times New Roman" w:cs="Times New Roman"/>
                <w:color w:val="000000"/>
                <w:sz w:val="24"/>
                <w:szCs w:val="24"/>
              </w:rPr>
            </w:pPr>
            <w:r w:rsidRPr="00F66630">
              <w:rPr>
                <w:rFonts w:ascii="Times New Roman" w:eastAsia="Calibri" w:hAnsi="Times New Roman" w:cs="Times New Roman"/>
                <w:color w:val="000000"/>
                <w:sz w:val="24"/>
                <w:szCs w:val="24"/>
              </w:rPr>
              <w:t>n/a</w:t>
            </w:r>
          </w:p>
        </w:tc>
        <w:tc>
          <w:tcPr>
            <w:tcW w:w="1146" w:type="pct"/>
            <w:tcBorders>
              <w:top w:val="nil"/>
              <w:left w:val="nil"/>
              <w:bottom w:val="single" w:sz="8" w:space="0" w:color="auto"/>
              <w:right w:val="single" w:sz="8" w:space="0" w:color="auto"/>
            </w:tcBorders>
            <w:tcMar>
              <w:top w:w="0" w:type="dxa"/>
              <w:left w:w="108" w:type="dxa"/>
              <w:bottom w:w="0" w:type="dxa"/>
              <w:right w:w="108" w:type="dxa"/>
            </w:tcMar>
          </w:tcPr>
          <w:p w14:paraId="0A0F8C9F" w14:textId="7FA6548E" w:rsidR="00391AC2" w:rsidRPr="00F66630" w:rsidRDefault="00391AC2" w:rsidP="00391AC2">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13.2</w:t>
            </w:r>
          </w:p>
        </w:tc>
        <w:tc>
          <w:tcPr>
            <w:tcW w:w="1146" w:type="pct"/>
            <w:tcBorders>
              <w:top w:val="nil"/>
              <w:left w:val="nil"/>
              <w:bottom w:val="single" w:sz="8" w:space="0" w:color="auto"/>
              <w:right w:val="single" w:sz="8" w:space="0" w:color="auto"/>
            </w:tcBorders>
            <w:tcMar>
              <w:top w:w="0" w:type="dxa"/>
              <w:left w:w="108" w:type="dxa"/>
              <w:bottom w:w="0" w:type="dxa"/>
              <w:right w:w="108" w:type="dxa"/>
            </w:tcMar>
          </w:tcPr>
          <w:p w14:paraId="11926CFB" w14:textId="4D16591E" w:rsidR="00391AC2" w:rsidRPr="00F66630" w:rsidRDefault="00391AC2" w:rsidP="00391AC2">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1.0</w:t>
            </w:r>
          </w:p>
        </w:tc>
      </w:tr>
      <w:tr w:rsidR="00391AC2" w:rsidRPr="00F66630" w14:paraId="09063FAA"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7626719D" w14:textId="250377A6" w:rsidR="00391AC2" w:rsidRPr="00F66630" w:rsidRDefault="00391AC2" w:rsidP="00391AC2">
            <w:pPr>
              <w:spacing w:after="0" w:line="240" w:lineRule="auto"/>
              <w:rPr>
                <w:rFonts w:ascii="Times New Roman" w:eastAsia="Calibri" w:hAnsi="Times New Roman" w:cs="Times New Roman"/>
                <w:color w:val="000000"/>
                <w:sz w:val="24"/>
                <w:szCs w:val="24"/>
              </w:rPr>
            </w:pPr>
            <w:r w:rsidRPr="00F66630">
              <w:rPr>
                <w:rFonts w:ascii="Times New Roman" w:eastAsia="Calibri" w:hAnsi="Times New Roman" w:cs="Times New Roman"/>
                <w:color w:val="000000"/>
                <w:sz w:val="24"/>
                <w:szCs w:val="24"/>
              </w:rPr>
              <w:t>n/a</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BE19909" w14:textId="66867D82" w:rsidR="00391AC2" w:rsidRPr="00F66630" w:rsidRDefault="00391AC2" w:rsidP="00391AC2">
            <w:pPr>
              <w:spacing w:after="0" w:line="240" w:lineRule="auto"/>
              <w:rPr>
                <w:rFonts w:ascii="Times New Roman" w:eastAsia="Calibri" w:hAnsi="Times New Roman" w:cs="Times New Roman"/>
                <w:color w:val="000000"/>
                <w:sz w:val="24"/>
                <w:szCs w:val="24"/>
              </w:rPr>
            </w:pPr>
            <w:r w:rsidRPr="00F66630">
              <w:rPr>
                <w:rFonts w:ascii="Times New Roman" w:eastAsia="Calibri" w:hAnsi="Times New Roman" w:cs="Times New Roman"/>
                <w:color w:val="000000"/>
                <w:sz w:val="24"/>
                <w:szCs w:val="24"/>
              </w:rPr>
              <w:t>n/a</w:t>
            </w:r>
          </w:p>
        </w:tc>
        <w:tc>
          <w:tcPr>
            <w:tcW w:w="1146" w:type="pct"/>
            <w:tcBorders>
              <w:top w:val="nil"/>
              <w:left w:val="nil"/>
              <w:bottom w:val="single" w:sz="8" w:space="0" w:color="auto"/>
              <w:right w:val="single" w:sz="8" w:space="0" w:color="auto"/>
            </w:tcBorders>
            <w:tcMar>
              <w:top w:w="0" w:type="dxa"/>
              <w:left w:w="108" w:type="dxa"/>
              <w:bottom w:w="0" w:type="dxa"/>
              <w:right w:w="108" w:type="dxa"/>
            </w:tcMar>
          </w:tcPr>
          <w:p w14:paraId="58B8B1A1" w14:textId="40E6FD8F" w:rsidR="00391AC2" w:rsidRPr="00F66630" w:rsidRDefault="00391AC2" w:rsidP="00391AC2">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13.3</w:t>
            </w:r>
          </w:p>
        </w:tc>
        <w:tc>
          <w:tcPr>
            <w:tcW w:w="1146" w:type="pct"/>
            <w:tcBorders>
              <w:top w:val="nil"/>
              <w:left w:val="nil"/>
              <w:bottom w:val="single" w:sz="8" w:space="0" w:color="auto"/>
              <w:right w:val="single" w:sz="8" w:space="0" w:color="auto"/>
            </w:tcBorders>
            <w:tcMar>
              <w:top w:w="0" w:type="dxa"/>
              <w:left w:w="108" w:type="dxa"/>
              <w:bottom w:w="0" w:type="dxa"/>
              <w:right w:w="108" w:type="dxa"/>
            </w:tcMar>
          </w:tcPr>
          <w:p w14:paraId="408352A4" w14:textId="4A82B16A" w:rsidR="00391AC2" w:rsidRPr="00F66630" w:rsidRDefault="00391AC2" w:rsidP="00391AC2">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1.0</w:t>
            </w:r>
          </w:p>
        </w:tc>
      </w:tr>
      <w:tr w:rsidR="004B6B90" w:rsidRPr="00F66630" w14:paraId="5FD8352D"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FB5E16"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2</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A552685"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FB39372"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11.1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572C76D9"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2.5</w:t>
            </w:r>
          </w:p>
        </w:tc>
      </w:tr>
      <w:tr w:rsidR="004B6B90" w:rsidRPr="00F66630" w14:paraId="4BE30C7D"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47CF11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3 Part 1</w:t>
            </w:r>
          </w:p>
          <w:p w14:paraId="4839CEDB"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3 Part 2</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6CC176AE"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2.5</w:t>
            </w:r>
          </w:p>
          <w:p w14:paraId="54F2EA3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1.5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6104DAC"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12.1</w:t>
            </w:r>
          </w:p>
          <w:p w14:paraId="3A80857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12.2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6F8D191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2.5</w:t>
            </w:r>
          </w:p>
          <w:p w14:paraId="13089905"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1.5</w:t>
            </w:r>
          </w:p>
        </w:tc>
      </w:tr>
      <w:tr w:rsidR="004B6B90" w:rsidRPr="00F66630" w14:paraId="5CFA5933"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6062EFAD"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4</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4E9198A3"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1.5</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4299886C"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11.2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17135D98" w14:textId="121AC4E4"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w:t>
            </w:r>
            <w:r w:rsidR="00391AC2" w:rsidRPr="00F66630">
              <w:rPr>
                <w:rFonts w:ascii="Times New Roman" w:eastAsia="Calibri" w:hAnsi="Times New Roman" w:cs="Times New Roman"/>
                <w:sz w:val="24"/>
                <w:szCs w:val="24"/>
              </w:rPr>
              <w:t>0</w:t>
            </w:r>
          </w:p>
        </w:tc>
      </w:tr>
      <w:tr w:rsidR="004B6B90" w:rsidRPr="00F66630" w14:paraId="1A645AF2"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3CD039"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5</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70CD441"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02378846"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11.3</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773A3EC" w14:textId="285A6E86"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2.</w:t>
            </w:r>
            <w:r w:rsidR="00391AC2" w:rsidRPr="00F66630">
              <w:rPr>
                <w:rFonts w:ascii="Times New Roman" w:eastAsia="Calibri" w:hAnsi="Times New Roman" w:cs="Times New Roman"/>
                <w:sz w:val="24"/>
                <w:szCs w:val="24"/>
              </w:rPr>
              <w:t>5</w:t>
            </w:r>
          </w:p>
        </w:tc>
      </w:tr>
      <w:tr w:rsidR="004B6B90" w:rsidRPr="00F66630" w14:paraId="4B3DD869"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01C7F7"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6</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3A60FE3C"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360623C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10.1</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4977D49"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1.0 (2020)</w:t>
            </w:r>
          </w:p>
          <w:p w14:paraId="62AE13E3"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1.0 (2021)</w:t>
            </w:r>
          </w:p>
        </w:tc>
      </w:tr>
      <w:tr w:rsidR="004B6B90" w:rsidRPr="00F66630" w14:paraId="69518B5B"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EA41208"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7</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1754873D"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0D4E9D5"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10.3</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31B4C79"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2.0</w:t>
            </w:r>
          </w:p>
        </w:tc>
      </w:tr>
      <w:tr w:rsidR="004B6B90" w:rsidRPr="00F66630" w14:paraId="3E013428" w14:textId="77777777" w:rsidTr="00C73BFE">
        <w:tc>
          <w:tcPr>
            <w:tcW w:w="1562"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5C143F"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New DLI 8</w:t>
            </w:r>
          </w:p>
        </w:tc>
        <w:tc>
          <w:tcPr>
            <w:tcW w:w="114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14:paraId="7F81AE31"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color w:val="000000"/>
                <w:sz w:val="24"/>
                <w:szCs w:val="24"/>
              </w:rPr>
              <w:t>2.0</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D049100"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DLI 10.2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14:paraId="233B88F0" w14:textId="77777777" w:rsidR="004B6B90" w:rsidRPr="00F66630" w:rsidRDefault="004B6B90" w:rsidP="004B6B90">
            <w:pPr>
              <w:spacing w:after="0" w:line="240" w:lineRule="auto"/>
              <w:rPr>
                <w:rFonts w:ascii="Times New Roman" w:eastAsia="Calibri" w:hAnsi="Times New Roman" w:cs="Times New Roman"/>
                <w:sz w:val="24"/>
                <w:szCs w:val="24"/>
              </w:rPr>
            </w:pPr>
            <w:r w:rsidRPr="00F66630">
              <w:rPr>
                <w:rFonts w:ascii="Times New Roman" w:eastAsia="Calibri" w:hAnsi="Times New Roman" w:cs="Times New Roman"/>
                <w:sz w:val="24"/>
                <w:szCs w:val="24"/>
              </w:rPr>
              <w:t>2.0</w:t>
            </w:r>
          </w:p>
        </w:tc>
      </w:tr>
    </w:tbl>
    <w:p w14:paraId="4F3ABB9F" w14:textId="77777777" w:rsidR="004B6B90" w:rsidRPr="00F66630" w:rsidRDefault="004B6B90" w:rsidP="004B6B90">
      <w:pPr>
        <w:spacing w:after="0" w:line="240" w:lineRule="auto"/>
        <w:rPr>
          <w:rFonts w:ascii="Times New Roman" w:eastAsia="Calibri" w:hAnsi="Times New Roman" w:cs="Times New Roman"/>
          <w:sz w:val="24"/>
          <w:szCs w:val="24"/>
        </w:rPr>
      </w:pPr>
    </w:p>
    <w:p w14:paraId="0C4A25C2" w14:textId="13B09032" w:rsidR="005F5DB6" w:rsidRPr="00F66630" w:rsidRDefault="006F2080" w:rsidP="0050360D">
      <w:pPr>
        <w:pStyle w:val="Minh"/>
        <w:numPr>
          <w:ilvl w:val="0"/>
          <w:numId w:val="70"/>
        </w:numPr>
        <w:spacing w:before="0"/>
        <w:jc w:val="left"/>
        <w:outlineLvl w:val="2"/>
        <w:rPr>
          <w:b/>
        </w:rPr>
      </w:pPr>
      <w:bookmarkStart w:id="11" w:name="_Toc107345842"/>
      <w:r w:rsidRPr="00F66630">
        <w:rPr>
          <w:b/>
        </w:rPr>
        <w:t>Eligibility Criteria (EC) for the NEW Disbursement-Linked Indicators (DLI)</w:t>
      </w:r>
      <w:bookmarkEnd w:id="11"/>
    </w:p>
    <w:p w14:paraId="3920F392" w14:textId="01124477" w:rsidR="005F5DB6" w:rsidRPr="00F66630" w:rsidRDefault="00731E7D" w:rsidP="005F5DB6">
      <w:pPr>
        <w:pStyle w:val="Minh"/>
        <w:numPr>
          <w:ilvl w:val="0"/>
          <w:numId w:val="0"/>
        </w:numPr>
        <w:spacing w:before="0"/>
      </w:pPr>
      <w:proofErr w:type="gramStart"/>
      <w:r w:rsidRPr="00F66630">
        <w:t xml:space="preserve">In </w:t>
      </w:r>
      <w:r w:rsidR="005F5DB6" w:rsidRPr="00F66630">
        <w:t>order to</w:t>
      </w:r>
      <w:proofErr w:type="gramEnd"/>
      <w:r w:rsidR="005F5DB6" w:rsidRPr="00F66630">
        <w:t xml:space="preserve"> be eligible to receive</w:t>
      </w:r>
      <w:r w:rsidRPr="00F66630">
        <w:t xml:space="preserve"> </w:t>
      </w:r>
      <w:r w:rsidR="00867764" w:rsidRPr="00F66630">
        <w:t>funds</w:t>
      </w:r>
      <w:r w:rsidR="005F5DB6" w:rsidRPr="00F66630">
        <w:t xml:space="preserve"> for achievement of the </w:t>
      </w:r>
      <w:r w:rsidR="008A3C02" w:rsidRPr="00F66630">
        <w:t xml:space="preserve">NEW </w:t>
      </w:r>
      <w:r w:rsidR="005F5DB6" w:rsidRPr="00F66630">
        <w:t xml:space="preserve">disbursement-linked </w:t>
      </w:r>
      <w:r w:rsidR="008A3C02" w:rsidRPr="00F66630">
        <w:t>indicators</w:t>
      </w:r>
      <w:r w:rsidR="00C30E6D" w:rsidRPr="00F66630">
        <w:t>/results</w:t>
      </w:r>
      <w:r w:rsidR="005F5DB6" w:rsidRPr="00F66630">
        <w:t>, states need to achieve the Eligibility Criteria</w:t>
      </w:r>
      <w:r w:rsidR="00C30E6D" w:rsidRPr="00F66630">
        <w:t xml:space="preserve"> as shown in the table below. </w:t>
      </w:r>
      <w:r w:rsidR="005F5DB6" w:rsidRPr="00F66630">
        <w:t>The Eligibility Criteria</w:t>
      </w:r>
      <w:r w:rsidR="00F31BBC" w:rsidRPr="00F66630">
        <w:t xml:space="preserve"> for the NEW DLIs correspond</w:t>
      </w:r>
      <w:r w:rsidR="00424A01" w:rsidRPr="00F66630">
        <w:t>s</w:t>
      </w:r>
      <w:r w:rsidR="00F31BBC" w:rsidRPr="00F66630">
        <w:t xml:space="preserve"> to the Original Program Year 3-2020 Eligibility Criteria</w:t>
      </w:r>
      <w:r w:rsidR="00553624" w:rsidRPr="00F66630">
        <w:t xml:space="preserve"> (Section A I)</w:t>
      </w:r>
      <w:r w:rsidR="005F5DB6" w:rsidRPr="00F66630">
        <w:t xml:space="preserve">. </w:t>
      </w:r>
    </w:p>
    <w:p w14:paraId="2B374315" w14:textId="77777777" w:rsidR="001359AC" w:rsidRPr="00F66630" w:rsidRDefault="001359AC" w:rsidP="005F5DB6">
      <w:pPr>
        <w:pStyle w:val="Minh"/>
        <w:numPr>
          <w:ilvl w:val="0"/>
          <w:numId w:val="0"/>
        </w:numPr>
        <w:spacing w:before="0"/>
        <w:jc w:val="center"/>
        <w:rPr>
          <w:b/>
        </w:rPr>
      </w:pPr>
    </w:p>
    <w:p w14:paraId="402CF7EA" w14:textId="6E361101" w:rsidR="005F5DB6" w:rsidRPr="00F66630" w:rsidRDefault="005F5DB6" w:rsidP="005F5DB6">
      <w:pPr>
        <w:pStyle w:val="Minh"/>
        <w:numPr>
          <w:ilvl w:val="0"/>
          <w:numId w:val="0"/>
        </w:numPr>
        <w:spacing w:before="0"/>
        <w:jc w:val="center"/>
        <w:rPr>
          <w:b/>
        </w:rPr>
      </w:pPr>
      <w:r w:rsidRPr="00F66630">
        <w:rPr>
          <w:b/>
        </w:rPr>
        <w:t xml:space="preserve">Eligibility Criteria </w:t>
      </w:r>
      <w:r w:rsidR="005E416D" w:rsidRPr="00F66630">
        <w:rPr>
          <w:b/>
        </w:rPr>
        <w:t xml:space="preserve">for the NEW 2020 and 2021 DLIs </w:t>
      </w:r>
      <w:r w:rsidRPr="00F66630">
        <w:rPr>
          <w:b/>
        </w:rPr>
        <w:t>Table</w:t>
      </w:r>
    </w:p>
    <w:tbl>
      <w:tblPr>
        <w:tblStyle w:val="TableGrid21"/>
        <w:tblW w:w="5150" w:type="pct"/>
        <w:tblInd w:w="-113" w:type="dxa"/>
        <w:tblLook w:val="04A0" w:firstRow="1" w:lastRow="0" w:firstColumn="1" w:lastColumn="0" w:noHBand="0" w:noVBand="1"/>
      </w:tblPr>
      <w:tblGrid>
        <w:gridCol w:w="4957"/>
        <w:gridCol w:w="8382"/>
      </w:tblGrid>
      <w:tr w:rsidR="00D1179C" w:rsidRPr="00F66630" w14:paraId="3F438819" w14:textId="77777777" w:rsidTr="00585307">
        <w:trPr>
          <w:trHeight w:val="278"/>
          <w:tblHeader/>
        </w:trPr>
        <w:tc>
          <w:tcPr>
            <w:tcW w:w="1858" w:type="pct"/>
            <w:tcBorders>
              <w:bottom w:val="single" w:sz="4" w:space="0" w:color="auto"/>
            </w:tcBorders>
            <w:shd w:val="clear" w:color="auto" w:fill="FDE9D9" w:themeFill="accent6" w:themeFillTint="33"/>
          </w:tcPr>
          <w:p w14:paraId="161E7966" w14:textId="514ABEF2" w:rsidR="00024CBC" w:rsidRPr="00F66630" w:rsidRDefault="00D1179C" w:rsidP="00D1179C">
            <w:pPr>
              <w:spacing w:before="60" w:after="60"/>
              <w:jc w:val="center"/>
              <w:rPr>
                <w:b/>
                <w:i/>
                <w:sz w:val="24"/>
                <w:szCs w:val="24"/>
              </w:rPr>
            </w:pPr>
            <w:r w:rsidRPr="00F66630">
              <w:rPr>
                <w:b/>
                <w:i/>
                <w:sz w:val="24"/>
                <w:szCs w:val="24"/>
              </w:rPr>
              <w:lastRenderedPageBreak/>
              <w:t xml:space="preserve">NEW </w:t>
            </w:r>
            <w:r w:rsidR="00024CBC" w:rsidRPr="00F66630">
              <w:rPr>
                <w:b/>
                <w:i/>
                <w:sz w:val="24"/>
                <w:szCs w:val="24"/>
              </w:rPr>
              <w:t>DLIs</w:t>
            </w:r>
          </w:p>
        </w:tc>
        <w:tc>
          <w:tcPr>
            <w:tcW w:w="3142" w:type="pct"/>
            <w:tcBorders>
              <w:bottom w:val="single" w:sz="4" w:space="0" w:color="auto"/>
            </w:tcBorders>
            <w:shd w:val="clear" w:color="auto" w:fill="FDE9D9" w:themeFill="accent6" w:themeFillTint="33"/>
          </w:tcPr>
          <w:p w14:paraId="2A23ECE3" w14:textId="3B8C31D7" w:rsidR="00024CBC" w:rsidRPr="00F66630" w:rsidRDefault="00024CBC" w:rsidP="00D1179C">
            <w:pPr>
              <w:spacing w:before="60" w:after="60"/>
              <w:jc w:val="center"/>
              <w:rPr>
                <w:b/>
                <w:i/>
                <w:sz w:val="24"/>
                <w:szCs w:val="24"/>
              </w:rPr>
            </w:pPr>
            <w:r w:rsidRPr="00F66630">
              <w:rPr>
                <w:b/>
                <w:i/>
                <w:sz w:val="24"/>
                <w:szCs w:val="24"/>
              </w:rPr>
              <w:t>Eligibility Criteria</w:t>
            </w:r>
          </w:p>
        </w:tc>
      </w:tr>
      <w:tr w:rsidR="00D1179C" w:rsidRPr="00F66630" w14:paraId="5EED4C81" w14:textId="77777777" w:rsidTr="00585307">
        <w:trPr>
          <w:trHeight w:val="458"/>
        </w:trPr>
        <w:tc>
          <w:tcPr>
            <w:tcW w:w="1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BA35C" w14:textId="77777777" w:rsidR="00024CBC" w:rsidRPr="00F66630" w:rsidRDefault="00024CBC" w:rsidP="00C50865">
            <w:pPr>
              <w:spacing w:before="60" w:after="60"/>
              <w:rPr>
                <w:sz w:val="24"/>
                <w:szCs w:val="24"/>
              </w:rPr>
            </w:pPr>
            <w:r w:rsidRPr="00F66630">
              <w:rPr>
                <w:sz w:val="24"/>
                <w:szCs w:val="24"/>
              </w:rPr>
              <w:t>DLIs to be achieved in calendar year 2020:</w:t>
            </w:r>
          </w:p>
          <w:p w14:paraId="36DB45E2" w14:textId="3D5A71EF" w:rsidR="00264EA7" w:rsidRPr="00F66630" w:rsidRDefault="00264EA7" w:rsidP="00264EA7">
            <w:pPr>
              <w:spacing w:before="60" w:after="60"/>
              <w:rPr>
                <w:sz w:val="24"/>
                <w:szCs w:val="24"/>
              </w:rPr>
            </w:pPr>
            <w:r w:rsidRPr="00F66630">
              <w:rPr>
                <w:sz w:val="24"/>
                <w:szCs w:val="24"/>
              </w:rPr>
              <w:t xml:space="preserve">DLIs #10.1(2020), #11.1, #12.1, </w:t>
            </w:r>
            <w:r w:rsidR="009177B0" w:rsidRPr="00F66630">
              <w:rPr>
                <w:sz w:val="24"/>
                <w:szCs w:val="24"/>
              </w:rPr>
              <w:t>#13.1 and</w:t>
            </w:r>
          </w:p>
          <w:p w14:paraId="2C08F9B5" w14:textId="1514BFE1" w:rsidR="00024CBC" w:rsidRPr="00F66630" w:rsidRDefault="00264EA7" w:rsidP="00264EA7">
            <w:pPr>
              <w:spacing w:before="60" w:after="60"/>
              <w:rPr>
                <w:sz w:val="24"/>
                <w:szCs w:val="24"/>
              </w:rPr>
            </w:pPr>
            <w:r w:rsidRPr="00F66630">
              <w:rPr>
                <w:sz w:val="24"/>
                <w:szCs w:val="24"/>
              </w:rPr>
              <w:t>#13.2.</w:t>
            </w:r>
          </w:p>
        </w:tc>
        <w:tc>
          <w:tcPr>
            <w:tcW w:w="31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AC811" w14:textId="77777777" w:rsidR="00024CBC" w:rsidRPr="00F66630" w:rsidRDefault="00024CBC" w:rsidP="00C50865">
            <w:pPr>
              <w:spacing w:before="60" w:after="60"/>
              <w:rPr>
                <w:sz w:val="24"/>
                <w:szCs w:val="24"/>
              </w:rPr>
            </w:pPr>
            <w:r w:rsidRPr="00F66630">
              <w:rPr>
                <w:sz w:val="24"/>
                <w:szCs w:val="24"/>
              </w:rPr>
              <w:t>FY19 audited financial statement, prepared in accordance with IPSAS, submitted to the State Assembly and published by end of August 2020</w:t>
            </w:r>
          </w:p>
          <w:p w14:paraId="6F605D6F" w14:textId="7AB8F7B9" w:rsidR="00665048" w:rsidRPr="00F66630" w:rsidRDefault="00665048" w:rsidP="00C50865">
            <w:pPr>
              <w:spacing w:before="60" w:after="60"/>
              <w:rPr>
                <w:sz w:val="24"/>
                <w:szCs w:val="24"/>
              </w:rPr>
            </w:pPr>
            <w:r w:rsidRPr="00F66630">
              <w:rPr>
                <w:i/>
                <w:iCs/>
                <w:sz w:val="24"/>
                <w:szCs w:val="24"/>
              </w:rPr>
              <w:t>Note – this is</w:t>
            </w:r>
            <w:r w:rsidR="00F31BBC" w:rsidRPr="00F66630">
              <w:rPr>
                <w:i/>
                <w:iCs/>
                <w:sz w:val="24"/>
                <w:szCs w:val="24"/>
              </w:rPr>
              <w:t xml:space="preserve"> same as</w:t>
            </w:r>
            <w:r w:rsidRPr="00F66630">
              <w:rPr>
                <w:i/>
                <w:iCs/>
                <w:sz w:val="24"/>
                <w:szCs w:val="24"/>
              </w:rPr>
              <w:t xml:space="preserve"> Part 2 of </w:t>
            </w:r>
            <w:r w:rsidR="00D1179C" w:rsidRPr="00F66630">
              <w:rPr>
                <w:i/>
                <w:iCs/>
                <w:sz w:val="24"/>
                <w:szCs w:val="24"/>
              </w:rPr>
              <w:t xml:space="preserve">the Original </w:t>
            </w:r>
            <w:r w:rsidR="00386DC1" w:rsidRPr="00F66630">
              <w:rPr>
                <w:i/>
                <w:iCs/>
                <w:sz w:val="24"/>
                <w:szCs w:val="24"/>
              </w:rPr>
              <w:t xml:space="preserve">DLI </w:t>
            </w:r>
            <w:r w:rsidRPr="00F66630">
              <w:rPr>
                <w:i/>
                <w:iCs/>
                <w:sz w:val="24"/>
                <w:szCs w:val="24"/>
              </w:rPr>
              <w:t>Year 3-2020 Eligibility Criteria</w:t>
            </w:r>
          </w:p>
        </w:tc>
      </w:tr>
      <w:tr w:rsidR="00665048" w:rsidRPr="00F66630" w14:paraId="23857AC3" w14:textId="77777777" w:rsidTr="00DC56F7">
        <w:trPr>
          <w:trHeight w:val="458"/>
        </w:trPr>
        <w:tc>
          <w:tcPr>
            <w:tcW w:w="1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30E2BC" w14:textId="77777777" w:rsidR="00665048" w:rsidRPr="00F66630" w:rsidRDefault="00665048" w:rsidP="00665048">
            <w:pPr>
              <w:spacing w:before="60" w:after="60"/>
              <w:rPr>
                <w:sz w:val="24"/>
                <w:szCs w:val="24"/>
              </w:rPr>
            </w:pPr>
            <w:r w:rsidRPr="00F66630">
              <w:rPr>
                <w:sz w:val="24"/>
                <w:szCs w:val="24"/>
              </w:rPr>
              <w:t>DLIs to be achieved in calendar year 2021:</w:t>
            </w:r>
          </w:p>
          <w:p w14:paraId="7F1A4E80" w14:textId="0ADE52E4" w:rsidR="00665048" w:rsidRPr="00F66630" w:rsidRDefault="00044822" w:rsidP="00044822">
            <w:pPr>
              <w:spacing w:before="60" w:after="60"/>
              <w:rPr>
                <w:sz w:val="24"/>
                <w:szCs w:val="24"/>
              </w:rPr>
            </w:pPr>
            <w:r w:rsidRPr="00F66630">
              <w:rPr>
                <w:sz w:val="24"/>
                <w:szCs w:val="24"/>
              </w:rPr>
              <w:t>DLIs #10.1 (2021), #10.2, #10.3, #11.2, #11.3, #12.2, and #13.3</w:t>
            </w:r>
          </w:p>
        </w:tc>
        <w:tc>
          <w:tcPr>
            <w:tcW w:w="31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A722C" w14:textId="77777777" w:rsidR="00665048" w:rsidRPr="00F66630" w:rsidRDefault="00665048" w:rsidP="00665048">
            <w:pPr>
              <w:spacing w:before="60" w:after="60"/>
              <w:rPr>
                <w:sz w:val="24"/>
                <w:szCs w:val="24"/>
              </w:rPr>
            </w:pPr>
            <w:r w:rsidRPr="00F66630">
              <w:rPr>
                <w:sz w:val="24"/>
                <w:szCs w:val="24"/>
              </w:rPr>
              <w:t xml:space="preserve">FY21 State budget, prepared under the National Chart of Accounts, approved by the State </w:t>
            </w:r>
            <w:proofErr w:type="gramStart"/>
            <w:r w:rsidRPr="00F66630">
              <w:rPr>
                <w:sz w:val="24"/>
                <w:szCs w:val="24"/>
              </w:rPr>
              <w:t>Assembly</w:t>
            </w:r>
            <w:proofErr w:type="gramEnd"/>
            <w:r w:rsidRPr="00F66630">
              <w:rPr>
                <w:sz w:val="24"/>
                <w:szCs w:val="24"/>
              </w:rPr>
              <w:t xml:space="preserve"> and published online by end of January 2021</w:t>
            </w:r>
          </w:p>
          <w:p w14:paraId="2F4274BE" w14:textId="32ACB813" w:rsidR="00D1179C" w:rsidRPr="00F66630" w:rsidRDefault="00D1179C" w:rsidP="00665048">
            <w:pPr>
              <w:spacing w:before="60" w:after="60"/>
              <w:rPr>
                <w:sz w:val="24"/>
                <w:szCs w:val="24"/>
              </w:rPr>
            </w:pPr>
            <w:r w:rsidRPr="00F66630">
              <w:rPr>
                <w:i/>
                <w:iCs/>
                <w:sz w:val="24"/>
                <w:szCs w:val="24"/>
              </w:rPr>
              <w:t xml:space="preserve">Note – this </w:t>
            </w:r>
            <w:r w:rsidR="00F31BBC" w:rsidRPr="00F66630">
              <w:rPr>
                <w:i/>
                <w:iCs/>
                <w:sz w:val="24"/>
                <w:szCs w:val="24"/>
              </w:rPr>
              <w:t>is same as</w:t>
            </w:r>
            <w:r w:rsidRPr="00F66630">
              <w:rPr>
                <w:i/>
                <w:iCs/>
                <w:sz w:val="24"/>
                <w:szCs w:val="24"/>
              </w:rPr>
              <w:t xml:space="preserve"> Part 1 of the Original </w:t>
            </w:r>
            <w:r w:rsidR="00386DC1" w:rsidRPr="00F66630">
              <w:rPr>
                <w:i/>
                <w:iCs/>
                <w:sz w:val="24"/>
                <w:szCs w:val="24"/>
              </w:rPr>
              <w:t xml:space="preserve">DLI </w:t>
            </w:r>
            <w:r w:rsidRPr="00F66630">
              <w:rPr>
                <w:i/>
                <w:iCs/>
                <w:sz w:val="24"/>
                <w:szCs w:val="24"/>
              </w:rPr>
              <w:t>Year 3-2020 Eligibility Criteria</w:t>
            </w:r>
            <w:r w:rsidRPr="00F66630">
              <w:rPr>
                <w:sz w:val="24"/>
                <w:szCs w:val="24"/>
              </w:rPr>
              <w:t xml:space="preserve"> </w:t>
            </w:r>
          </w:p>
        </w:tc>
      </w:tr>
      <w:tr w:rsidR="0008420C" w:rsidRPr="00F66630" w14:paraId="11D9EB81" w14:textId="77777777" w:rsidTr="00DC56F7">
        <w:trPr>
          <w:trHeight w:val="458"/>
        </w:trPr>
        <w:tc>
          <w:tcPr>
            <w:tcW w:w="1858" w:type="pct"/>
            <w:tcBorders>
              <w:top w:val="single" w:sz="4" w:space="0" w:color="auto"/>
              <w:left w:val="nil"/>
              <w:bottom w:val="nil"/>
              <w:right w:val="nil"/>
            </w:tcBorders>
            <w:shd w:val="clear" w:color="auto" w:fill="FFFFFF" w:themeFill="background1"/>
          </w:tcPr>
          <w:p w14:paraId="0175FFBD" w14:textId="77777777" w:rsidR="0008420C" w:rsidRPr="00F66630" w:rsidRDefault="0008420C" w:rsidP="00665048">
            <w:pPr>
              <w:spacing w:before="60" w:after="60"/>
              <w:rPr>
                <w:sz w:val="24"/>
                <w:szCs w:val="24"/>
              </w:rPr>
            </w:pPr>
          </w:p>
        </w:tc>
        <w:tc>
          <w:tcPr>
            <w:tcW w:w="3142" w:type="pct"/>
            <w:tcBorders>
              <w:top w:val="single" w:sz="4" w:space="0" w:color="auto"/>
              <w:left w:val="nil"/>
              <w:bottom w:val="nil"/>
              <w:right w:val="nil"/>
            </w:tcBorders>
            <w:shd w:val="clear" w:color="auto" w:fill="FFFFFF" w:themeFill="background1"/>
          </w:tcPr>
          <w:p w14:paraId="26E09C53" w14:textId="77777777" w:rsidR="0008420C" w:rsidRPr="00F66630" w:rsidRDefault="0008420C" w:rsidP="00665048">
            <w:pPr>
              <w:spacing w:before="60" w:after="60"/>
              <w:rPr>
                <w:sz w:val="24"/>
                <w:szCs w:val="24"/>
              </w:rPr>
            </w:pPr>
          </w:p>
        </w:tc>
      </w:tr>
    </w:tbl>
    <w:p w14:paraId="64C14E17" w14:textId="39DB49AD" w:rsidR="005F5DB6" w:rsidRPr="00F66630" w:rsidRDefault="005B1F37" w:rsidP="0050360D">
      <w:pPr>
        <w:pStyle w:val="Minh"/>
        <w:numPr>
          <w:ilvl w:val="0"/>
          <w:numId w:val="70"/>
        </w:numPr>
        <w:spacing w:before="0"/>
        <w:jc w:val="left"/>
        <w:outlineLvl w:val="2"/>
        <w:rPr>
          <w:b/>
        </w:rPr>
      </w:pPr>
      <w:bookmarkStart w:id="12" w:name="_Toc107345843"/>
      <w:r w:rsidRPr="00F66630">
        <w:rPr>
          <w:b/>
        </w:rPr>
        <w:t>NEW</w:t>
      </w:r>
      <w:r w:rsidR="005F5DB6" w:rsidRPr="00F66630">
        <w:rPr>
          <w:b/>
        </w:rPr>
        <w:t xml:space="preserve"> Disbursement-Linked Indicators (DLI) Matrix</w:t>
      </w:r>
      <w:bookmarkEnd w:id="12"/>
    </w:p>
    <w:p w14:paraId="66DDA9C3" w14:textId="77777777" w:rsidR="005F5DB6" w:rsidRPr="00F66630" w:rsidRDefault="005F5DB6" w:rsidP="005F5DB6">
      <w:pPr>
        <w:pStyle w:val="Attachmenttitle"/>
        <w:spacing w:after="0"/>
        <w:ind w:left="86"/>
      </w:pPr>
      <w:r w:rsidRPr="00F66630">
        <w:t xml:space="preserve">Table Notes: </w:t>
      </w:r>
    </w:p>
    <w:p w14:paraId="60C67CC6" w14:textId="389AD408" w:rsidR="005F5DB6" w:rsidRPr="00F66630" w:rsidRDefault="005166A1" w:rsidP="0050360D">
      <w:pPr>
        <w:pStyle w:val="Attachmenttitle"/>
        <w:numPr>
          <w:ilvl w:val="0"/>
          <w:numId w:val="48"/>
        </w:numPr>
        <w:spacing w:after="0"/>
        <w:rPr>
          <w:b w:val="0"/>
        </w:rPr>
      </w:pPr>
      <w:r w:rsidRPr="00F66630">
        <w:rPr>
          <w:b w:val="0"/>
        </w:rPr>
        <w:t>Each</w:t>
      </w:r>
      <w:r w:rsidR="00E958F5" w:rsidRPr="00F66630">
        <w:rPr>
          <w:b w:val="0"/>
        </w:rPr>
        <w:t xml:space="preserve"> of </w:t>
      </w:r>
      <w:r w:rsidRPr="00F66630">
        <w:rPr>
          <w:b w:val="0"/>
        </w:rPr>
        <w:t xml:space="preserve">the </w:t>
      </w:r>
      <w:r w:rsidR="00E958F5" w:rsidRPr="00F66630">
        <w:rPr>
          <w:b w:val="0"/>
        </w:rPr>
        <w:t xml:space="preserve">NEW DLIs </w:t>
      </w:r>
      <w:r w:rsidR="00EB761A" w:rsidRPr="00F66630">
        <w:rPr>
          <w:b w:val="0"/>
        </w:rPr>
        <w:t xml:space="preserve">comprise of </w:t>
      </w:r>
      <w:r w:rsidR="00B77A6D" w:rsidRPr="00F66630">
        <w:rPr>
          <w:b w:val="0"/>
        </w:rPr>
        <w:t>2-3</w:t>
      </w:r>
      <w:r w:rsidR="00E958F5" w:rsidRPr="00F66630">
        <w:rPr>
          <w:b w:val="0"/>
        </w:rPr>
        <w:t xml:space="preserve"> d</w:t>
      </w:r>
      <w:r w:rsidR="005F5DB6" w:rsidRPr="00F66630">
        <w:rPr>
          <w:b w:val="0"/>
        </w:rPr>
        <w:t>isbursement-linked result</w:t>
      </w:r>
      <w:r w:rsidR="00B77A6D" w:rsidRPr="00F66630">
        <w:rPr>
          <w:b w:val="0"/>
        </w:rPr>
        <w:t>s</w:t>
      </w:r>
      <w:r w:rsidR="005F5DB6" w:rsidRPr="00F66630">
        <w:rPr>
          <w:b w:val="0"/>
        </w:rPr>
        <w:t xml:space="preserve"> (DLR</w:t>
      </w:r>
      <w:r w:rsidR="00B77A6D" w:rsidRPr="00F66630">
        <w:rPr>
          <w:b w:val="0"/>
        </w:rPr>
        <w:t>s</w:t>
      </w:r>
      <w:r w:rsidR="005F5DB6" w:rsidRPr="00F66630">
        <w:rPr>
          <w:b w:val="0"/>
        </w:rPr>
        <w:t>)</w:t>
      </w:r>
      <w:r w:rsidR="00B77A6D" w:rsidRPr="00F66630">
        <w:rPr>
          <w:b w:val="0"/>
        </w:rPr>
        <w:t>.</w:t>
      </w:r>
    </w:p>
    <w:p w14:paraId="39AD9717" w14:textId="26C4FCD1" w:rsidR="005F5DB6" w:rsidRPr="00F66630" w:rsidRDefault="005F5DB6" w:rsidP="0050360D">
      <w:pPr>
        <w:pStyle w:val="Attachmenttitle"/>
        <w:numPr>
          <w:ilvl w:val="0"/>
          <w:numId w:val="48"/>
        </w:numPr>
        <w:spacing w:after="0"/>
        <w:rPr>
          <w:b w:val="0"/>
        </w:rPr>
      </w:pPr>
      <w:r w:rsidRPr="00F66630">
        <w:rPr>
          <w:b w:val="0"/>
        </w:rPr>
        <w:t>The DLR value shown is per state. This value is the amount of performance-based financing to be received by a state if a state is assessed as having achieved the DLR.</w:t>
      </w:r>
    </w:p>
    <w:p w14:paraId="16B6254A" w14:textId="1A3631A2" w:rsidR="005F5DB6" w:rsidRPr="00F66630" w:rsidRDefault="005F5DB6" w:rsidP="006909B7">
      <w:pPr>
        <w:pStyle w:val="Attachmenttitle"/>
        <w:numPr>
          <w:ilvl w:val="0"/>
          <w:numId w:val="48"/>
        </w:numPr>
        <w:spacing w:after="0"/>
        <w:rPr>
          <w:b w:val="0"/>
        </w:rPr>
      </w:pPr>
      <w:r w:rsidRPr="00F66630">
        <w:rPr>
          <w:b w:val="0"/>
        </w:rPr>
        <w:t xml:space="preserve">DLRs which have distinct but related components that must be all achieved </w:t>
      </w:r>
      <w:proofErr w:type="gramStart"/>
      <w:r w:rsidRPr="00F66630">
        <w:rPr>
          <w:b w:val="0"/>
        </w:rPr>
        <w:t>in order to</w:t>
      </w:r>
      <w:proofErr w:type="gramEnd"/>
      <w:r w:rsidRPr="00F66630">
        <w:rPr>
          <w:b w:val="0"/>
        </w:rPr>
        <w:t xml:space="preserve"> receive financing are indicated by the use of ‘AND’ in the description</w:t>
      </w:r>
    </w:p>
    <w:p w14:paraId="2C1AD2DE" w14:textId="77777777" w:rsidR="006909B7" w:rsidRPr="00F66630" w:rsidRDefault="006909B7" w:rsidP="006909B7">
      <w:pPr>
        <w:pStyle w:val="Attachmenttitle"/>
        <w:spacing w:after="0"/>
        <w:ind w:left="446"/>
        <w:rPr>
          <w:b w:val="0"/>
        </w:rPr>
      </w:pPr>
    </w:p>
    <w:p w14:paraId="4EE1A56D" w14:textId="2B9713B9" w:rsidR="00913867" w:rsidRPr="00F66630" w:rsidRDefault="00913867" w:rsidP="00913867">
      <w:pPr>
        <w:pStyle w:val="Minh"/>
        <w:numPr>
          <w:ilvl w:val="0"/>
          <w:numId w:val="0"/>
        </w:numPr>
        <w:spacing w:before="0"/>
        <w:jc w:val="center"/>
        <w:rPr>
          <w:b/>
        </w:rPr>
      </w:pPr>
      <w:r w:rsidRPr="00F66630">
        <w:rPr>
          <w:b/>
        </w:rPr>
        <w:t xml:space="preserve">NEW Disbursement-Linked Indicator (DLI) Matrix </w:t>
      </w:r>
    </w:p>
    <w:tbl>
      <w:tblPr>
        <w:tblStyle w:val="TableGridCFAA2"/>
        <w:tblW w:w="5000" w:type="pct"/>
        <w:tblLook w:val="04A0" w:firstRow="1" w:lastRow="0" w:firstColumn="1" w:lastColumn="0" w:noHBand="0" w:noVBand="1"/>
      </w:tblPr>
      <w:tblGrid>
        <w:gridCol w:w="2997"/>
        <w:gridCol w:w="5066"/>
        <w:gridCol w:w="4887"/>
      </w:tblGrid>
      <w:tr w:rsidR="00BB37CC" w:rsidRPr="00F66630" w14:paraId="4E64F2A4" w14:textId="77777777" w:rsidTr="00BB37CC">
        <w:trPr>
          <w:trHeight w:val="269"/>
          <w:tblHeader/>
        </w:trPr>
        <w:tc>
          <w:tcPr>
            <w:tcW w:w="1157" w:type="pct"/>
            <w:vMerge w:val="restart"/>
            <w:shd w:val="clear" w:color="auto" w:fill="FDE9D9"/>
          </w:tcPr>
          <w:p w14:paraId="3DE8BB46" w14:textId="03BD9C1E" w:rsidR="00BB37CC" w:rsidRPr="00F66630" w:rsidRDefault="00BB37CC" w:rsidP="004627E0">
            <w:pPr>
              <w:rPr>
                <w:rFonts w:ascii="Times New Roman" w:hAnsi="Times New Roman"/>
                <w:b/>
              </w:rPr>
            </w:pPr>
            <w:r w:rsidRPr="00F66630">
              <w:rPr>
                <w:rFonts w:ascii="Times New Roman" w:hAnsi="Times New Roman"/>
                <w:b/>
                <w:sz w:val="24"/>
                <w:szCs w:val="24"/>
              </w:rPr>
              <w:t>Disbursement-Linked Indicator</w:t>
            </w:r>
          </w:p>
        </w:tc>
        <w:tc>
          <w:tcPr>
            <w:tcW w:w="3843" w:type="pct"/>
            <w:gridSpan w:val="2"/>
            <w:shd w:val="clear" w:color="auto" w:fill="FDE9D9"/>
          </w:tcPr>
          <w:p w14:paraId="5DEF0399" w14:textId="77777777" w:rsidR="00BB37CC" w:rsidRPr="00F66630" w:rsidRDefault="00BB37CC" w:rsidP="004627E0">
            <w:pPr>
              <w:jc w:val="center"/>
              <w:rPr>
                <w:rFonts w:ascii="Times New Roman" w:hAnsi="Times New Roman"/>
                <w:b/>
              </w:rPr>
            </w:pPr>
            <w:r w:rsidRPr="00F66630">
              <w:rPr>
                <w:rFonts w:ascii="Times New Roman" w:hAnsi="Times New Roman"/>
                <w:b/>
              </w:rPr>
              <w:t>Disbursement-Linked Results</w:t>
            </w:r>
          </w:p>
        </w:tc>
      </w:tr>
      <w:tr w:rsidR="00BB37CC" w:rsidRPr="00F66630" w14:paraId="7C02CD47" w14:textId="77777777" w:rsidTr="00BB37CC">
        <w:trPr>
          <w:trHeight w:val="323"/>
          <w:tblHeader/>
        </w:trPr>
        <w:tc>
          <w:tcPr>
            <w:tcW w:w="1157" w:type="pct"/>
            <w:vMerge/>
            <w:shd w:val="clear" w:color="auto" w:fill="FDE9D9"/>
          </w:tcPr>
          <w:p w14:paraId="11BD5D0A" w14:textId="77777777" w:rsidR="00BB37CC" w:rsidRPr="00F66630" w:rsidRDefault="00BB37CC" w:rsidP="004627E0">
            <w:pPr>
              <w:rPr>
                <w:rFonts w:ascii="Times New Roman" w:hAnsi="Times New Roman"/>
                <w:b/>
              </w:rPr>
            </w:pPr>
          </w:p>
        </w:tc>
        <w:tc>
          <w:tcPr>
            <w:tcW w:w="1956" w:type="pct"/>
            <w:shd w:val="clear" w:color="auto" w:fill="FDE9D9"/>
          </w:tcPr>
          <w:p w14:paraId="2B7E34B0" w14:textId="5F4D35C8" w:rsidR="00BB37CC" w:rsidRPr="00F66630" w:rsidRDefault="00BB37CC" w:rsidP="004627E0">
            <w:pPr>
              <w:jc w:val="center"/>
              <w:rPr>
                <w:rFonts w:ascii="Times New Roman" w:hAnsi="Times New Roman"/>
                <w:b/>
                <w:iCs/>
              </w:rPr>
            </w:pPr>
            <w:r w:rsidRPr="00F66630">
              <w:rPr>
                <w:rFonts w:ascii="Times New Roman" w:hAnsi="Times New Roman"/>
                <w:b/>
                <w:iCs/>
              </w:rPr>
              <w:t xml:space="preserve">Year </w:t>
            </w:r>
            <w:r w:rsidR="006B307D" w:rsidRPr="00F66630">
              <w:rPr>
                <w:rFonts w:ascii="Times New Roman" w:hAnsi="Times New Roman"/>
                <w:b/>
                <w:iCs/>
              </w:rPr>
              <w:t>3</w:t>
            </w:r>
            <w:r w:rsidRPr="00F66630">
              <w:rPr>
                <w:rFonts w:ascii="Times New Roman" w:hAnsi="Times New Roman"/>
                <w:b/>
                <w:iCs/>
              </w:rPr>
              <w:t xml:space="preserve"> – 2020</w:t>
            </w:r>
          </w:p>
        </w:tc>
        <w:tc>
          <w:tcPr>
            <w:tcW w:w="1887" w:type="pct"/>
            <w:shd w:val="clear" w:color="auto" w:fill="FDE9D9"/>
          </w:tcPr>
          <w:p w14:paraId="23B807E6" w14:textId="4651648C" w:rsidR="00BB37CC" w:rsidRPr="00F66630" w:rsidRDefault="00BB37CC" w:rsidP="004627E0">
            <w:pPr>
              <w:jc w:val="center"/>
              <w:rPr>
                <w:rFonts w:ascii="Times New Roman" w:hAnsi="Times New Roman"/>
                <w:b/>
                <w:iCs/>
              </w:rPr>
            </w:pPr>
            <w:r w:rsidRPr="00F66630">
              <w:rPr>
                <w:rFonts w:ascii="Times New Roman" w:hAnsi="Times New Roman"/>
                <w:b/>
                <w:iCs/>
              </w:rPr>
              <w:t xml:space="preserve">Year </w:t>
            </w:r>
            <w:r w:rsidR="006B307D" w:rsidRPr="00F66630">
              <w:rPr>
                <w:rFonts w:ascii="Times New Roman" w:hAnsi="Times New Roman"/>
                <w:b/>
                <w:iCs/>
              </w:rPr>
              <w:t>4</w:t>
            </w:r>
            <w:r w:rsidRPr="00F66630">
              <w:rPr>
                <w:rFonts w:ascii="Times New Roman" w:hAnsi="Times New Roman"/>
                <w:b/>
                <w:iCs/>
              </w:rPr>
              <w:t xml:space="preserve"> – 2021</w:t>
            </w:r>
            <w:r w:rsidR="006B307D" w:rsidRPr="00F66630">
              <w:rPr>
                <w:rFonts w:ascii="Times New Roman" w:hAnsi="Times New Roman"/>
                <w:b/>
                <w:iCs/>
              </w:rPr>
              <w:t xml:space="preserve"> </w:t>
            </w:r>
            <w:r w:rsidR="006B307D" w:rsidRPr="00F66630">
              <w:rPr>
                <w:rFonts w:ascii="Times New Roman" w:hAnsi="Times New Roman"/>
                <w:bCs/>
                <w:i/>
              </w:rPr>
              <w:t>(for DLI 11.3 till June 2022)</w:t>
            </w:r>
          </w:p>
        </w:tc>
      </w:tr>
      <w:tr w:rsidR="00BB37CC" w:rsidRPr="00F66630" w14:paraId="4A4A6D73" w14:textId="77777777" w:rsidTr="00B515AA">
        <w:trPr>
          <w:trHeight w:val="332"/>
        </w:trPr>
        <w:tc>
          <w:tcPr>
            <w:tcW w:w="1157" w:type="pct"/>
          </w:tcPr>
          <w:p w14:paraId="128A076B" w14:textId="6B92AA0F" w:rsidR="00BB37CC" w:rsidRPr="00F66630" w:rsidRDefault="00BB37CC" w:rsidP="004627E0">
            <w:pPr>
              <w:contextualSpacing/>
              <w:rPr>
                <w:rFonts w:ascii="Times New Roman" w:hAnsi="Times New Roman"/>
                <w:b/>
                <w:bCs/>
              </w:rPr>
            </w:pPr>
            <w:r w:rsidRPr="00F66630">
              <w:rPr>
                <w:rFonts w:ascii="Times New Roman" w:hAnsi="Times New Roman"/>
                <w:b/>
                <w:bCs/>
              </w:rPr>
              <w:t>DLI 10. Enhanced transparency and accountability of funds in the COVID-19 response and resilient recovery phases</w:t>
            </w:r>
          </w:p>
        </w:tc>
        <w:tc>
          <w:tcPr>
            <w:tcW w:w="1956" w:type="pct"/>
            <w:shd w:val="clear" w:color="auto" w:fill="auto"/>
          </w:tcPr>
          <w:p w14:paraId="69BA5372" w14:textId="77777777" w:rsidR="00BB37CC" w:rsidRPr="00F66630" w:rsidRDefault="00BB37CC" w:rsidP="004627E0">
            <w:pPr>
              <w:spacing w:after="120"/>
              <w:rPr>
                <w:rFonts w:ascii="Times New Roman" w:hAnsi="Times New Roman"/>
              </w:rPr>
            </w:pPr>
            <w:r w:rsidRPr="00F66630">
              <w:rPr>
                <w:rFonts w:ascii="Times New Roman" w:hAnsi="Times New Roman"/>
              </w:rPr>
              <w:t>10.1 No later than December 31, 2020, the audited financial statements of all local governments (LGs) in the Participating State for FY 2018 and the audited financial statements of all LGs in the Participating State for FY 2019, including all allocations and actual receipts of state-local government joint account allocation committee (SLJAAC) transfers for each LG in the Participating State, have been published on a State official website.</w:t>
            </w:r>
          </w:p>
        </w:tc>
        <w:tc>
          <w:tcPr>
            <w:tcW w:w="1887" w:type="pct"/>
            <w:shd w:val="clear" w:color="auto" w:fill="auto"/>
          </w:tcPr>
          <w:p w14:paraId="2C203413" w14:textId="77777777" w:rsidR="00BB37CC" w:rsidRPr="00F66630" w:rsidRDefault="00BB37CC" w:rsidP="004627E0">
            <w:pPr>
              <w:spacing w:after="120"/>
              <w:rPr>
                <w:rFonts w:ascii="Times New Roman" w:hAnsi="Times New Roman"/>
              </w:rPr>
            </w:pPr>
            <w:r w:rsidRPr="00F66630">
              <w:rPr>
                <w:rFonts w:ascii="Times New Roman" w:hAnsi="Times New Roman"/>
              </w:rPr>
              <w:t>10.1 No later than September 30, 2021, the audited financial statements of all local governments (LGs) in the Participating State for FY 2020, including all allocations and actual receipts of state-local government joint account allocation committee (SLJAAC) transfers for each LG in the Participating State, have been published on a State official website.</w:t>
            </w:r>
          </w:p>
          <w:p w14:paraId="7C6BA364" w14:textId="77777777" w:rsidR="00BB37CC" w:rsidRPr="00F66630" w:rsidRDefault="00BB37CC" w:rsidP="004627E0">
            <w:pPr>
              <w:spacing w:after="120"/>
              <w:rPr>
                <w:rFonts w:ascii="Times New Roman" w:hAnsi="Times New Roman"/>
              </w:rPr>
            </w:pPr>
            <w:r w:rsidRPr="00F66630">
              <w:rPr>
                <w:rFonts w:ascii="Times New Roman" w:hAnsi="Times New Roman"/>
              </w:rPr>
              <w:t xml:space="preserve">10.2 The Participating State has published: </w:t>
            </w:r>
          </w:p>
          <w:p w14:paraId="48682392" w14:textId="44C9E8A1" w:rsidR="00BB37CC" w:rsidRPr="00F66630" w:rsidRDefault="00BB37CC" w:rsidP="004627E0">
            <w:pPr>
              <w:spacing w:after="120"/>
              <w:rPr>
                <w:rFonts w:ascii="Times New Roman" w:hAnsi="Times New Roman"/>
              </w:rPr>
            </w:pPr>
            <w:r w:rsidRPr="00F66630">
              <w:rPr>
                <w:rFonts w:ascii="Times New Roman" w:hAnsi="Times New Roman"/>
              </w:rPr>
              <w:t xml:space="preserve">(a) </w:t>
            </w:r>
            <w:proofErr w:type="gramStart"/>
            <w:r w:rsidRPr="00F66630">
              <w:rPr>
                <w:rFonts w:ascii="Times New Roman" w:hAnsi="Times New Roman"/>
              </w:rPr>
              <w:t>on a monthly basis</w:t>
            </w:r>
            <w:proofErr w:type="gramEnd"/>
            <w:r w:rsidRPr="00F66630">
              <w:rPr>
                <w:rFonts w:ascii="Times New Roman" w:hAnsi="Times New Roman"/>
              </w:rPr>
              <w:t xml:space="preserve"> within one month after the end of each month, for five consecutive months starting August 2020, budget execution reports on budget </w:t>
            </w:r>
            <w:r w:rsidRPr="00F66630">
              <w:rPr>
                <w:rFonts w:ascii="Times New Roman" w:hAnsi="Times New Roman"/>
              </w:rPr>
              <w:lastRenderedPageBreak/>
              <w:t>allocations and actual expenditures incurred for COVID-19 response and recovery programs using the National Chart of Accounts (NCOA) on the Open Treasury Portal; and</w:t>
            </w:r>
          </w:p>
          <w:p w14:paraId="5E2975C6" w14:textId="625B59C8" w:rsidR="00BB37CC" w:rsidRPr="00F66630" w:rsidRDefault="00BB37CC" w:rsidP="004627E0">
            <w:pPr>
              <w:spacing w:after="120"/>
              <w:rPr>
                <w:rFonts w:ascii="Times New Roman" w:hAnsi="Times New Roman"/>
              </w:rPr>
            </w:pPr>
            <w:r w:rsidRPr="00F66630">
              <w:rPr>
                <w:rFonts w:ascii="Times New Roman" w:hAnsi="Times New Roman"/>
              </w:rPr>
              <w:t>(b) on a quarterly basis within two months of the end of each quarter, for three consecutive quarters starting with the third quarter of FY 2020, dedicated financial and compliance audit reports covering their COVID-19 response and recovery program expenditures.</w:t>
            </w:r>
          </w:p>
          <w:p w14:paraId="65904012" w14:textId="77777777" w:rsidR="00AE4CBD" w:rsidRPr="00F66630" w:rsidRDefault="00AE4CBD" w:rsidP="004627E0">
            <w:pPr>
              <w:spacing w:after="120"/>
              <w:rPr>
                <w:rFonts w:ascii="Times New Roman" w:hAnsi="Times New Roman"/>
              </w:rPr>
            </w:pPr>
          </w:p>
          <w:p w14:paraId="7A694578" w14:textId="2E0C80E3" w:rsidR="00D46364" w:rsidRPr="00F66630" w:rsidRDefault="00BB37CC" w:rsidP="004627E0">
            <w:pPr>
              <w:spacing w:after="120"/>
              <w:rPr>
                <w:rFonts w:ascii="Times New Roman" w:hAnsi="Times New Roman"/>
              </w:rPr>
            </w:pPr>
            <w:r w:rsidRPr="00F66630">
              <w:rPr>
                <w:rFonts w:ascii="Times New Roman" w:hAnsi="Times New Roman"/>
              </w:rPr>
              <w:t xml:space="preserve">10.3 No later than </w:t>
            </w:r>
            <w:r w:rsidR="006B307D" w:rsidRPr="00F66630">
              <w:rPr>
                <w:rFonts w:ascii="Times New Roman" w:hAnsi="Times New Roman"/>
              </w:rPr>
              <w:t>December</w:t>
            </w:r>
            <w:r w:rsidRPr="00F66630">
              <w:rPr>
                <w:rFonts w:ascii="Times New Roman" w:hAnsi="Times New Roman"/>
              </w:rPr>
              <w:t xml:space="preserve"> 3</w:t>
            </w:r>
            <w:r w:rsidR="0011010E" w:rsidRPr="00F66630">
              <w:rPr>
                <w:rFonts w:ascii="Times New Roman" w:hAnsi="Times New Roman"/>
              </w:rPr>
              <w:t>1</w:t>
            </w:r>
            <w:r w:rsidRPr="00F66630">
              <w:rPr>
                <w:rFonts w:ascii="Times New Roman" w:hAnsi="Times New Roman"/>
              </w:rPr>
              <w:t>, 2021, the implementation of operational and financial autonomy (per criteria set out in the Verification Protocol) for the Offices of State and Local Governments Auditors-General in the Participating State, through strengthened legal framework (the “</w:t>
            </w:r>
            <w:r w:rsidR="00700003" w:rsidRPr="00F66630">
              <w:rPr>
                <w:rFonts w:ascii="Times New Roman" w:hAnsi="Times New Roman"/>
              </w:rPr>
              <w:t xml:space="preserve">State </w:t>
            </w:r>
            <w:r w:rsidRPr="00F66630">
              <w:rPr>
                <w:rFonts w:ascii="Times New Roman" w:hAnsi="Times New Roman"/>
              </w:rPr>
              <w:t xml:space="preserve">Audit Law”); </w:t>
            </w:r>
            <w:r w:rsidR="00EB098C" w:rsidRPr="00F66630">
              <w:rPr>
                <w:rFonts w:ascii="Times New Roman" w:hAnsi="Times New Roman"/>
              </w:rPr>
              <w:t xml:space="preserve">and </w:t>
            </w:r>
          </w:p>
          <w:p w14:paraId="5E2A0126" w14:textId="77777777" w:rsidR="00D46364" w:rsidRPr="00F66630" w:rsidRDefault="000F6B37" w:rsidP="004627E0">
            <w:pPr>
              <w:spacing w:after="120"/>
              <w:rPr>
                <w:rFonts w:ascii="Times New Roman" w:hAnsi="Times New Roman"/>
              </w:rPr>
            </w:pPr>
            <w:r w:rsidRPr="00F66630">
              <w:rPr>
                <w:rFonts w:ascii="Times New Roman" w:hAnsi="Times New Roman"/>
              </w:rPr>
              <w:t>P</w:t>
            </w:r>
            <w:r w:rsidR="00BB37CC" w:rsidRPr="00F66630">
              <w:rPr>
                <w:rFonts w:ascii="Times New Roman" w:hAnsi="Times New Roman"/>
              </w:rPr>
              <w:t>rovision of resources for implementation of financial autonomy by inclusion of provisions in the FY 2021 budget for funding of the Offices of State and Local Governments Auditors-General; and</w:t>
            </w:r>
          </w:p>
          <w:p w14:paraId="77980FAF" w14:textId="77D1AC9D" w:rsidR="00BB37CC" w:rsidRPr="00F66630" w:rsidRDefault="00BB37CC" w:rsidP="004627E0">
            <w:pPr>
              <w:spacing w:after="120"/>
              <w:rPr>
                <w:rFonts w:ascii="Times New Roman" w:hAnsi="Times New Roman"/>
              </w:rPr>
            </w:pPr>
            <w:r w:rsidRPr="00F66630">
              <w:rPr>
                <w:rFonts w:ascii="Times New Roman" w:hAnsi="Times New Roman"/>
              </w:rPr>
              <w:t>Instructions for implementing the operational autonomy provisions of the new or existing Audit Law have been issued by the Head of Service or the Secretary to State Government of the Participating State.</w:t>
            </w:r>
            <w:r w:rsidRPr="00F66630" w:rsidDel="00BB38A9">
              <w:rPr>
                <w:rFonts w:ascii="Times New Roman" w:hAnsi="Times New Roman"/>
              </w:rPr>
              <w:t xml:space="preserve"> </w:t>
            </w:r>
          </w:p>
        </w:tc>
      </w:tr>
      <w:tr w:rsidR="00BB37CC" w:rsidRPr="00F66630" w14:paraId="28FB469D" w14:textId="77777777" w:rsidTr="00BB37CC">
        <w:trPr>
          <w:trHeight w:val="332"/>
        </w:trPr>
        <w:tc>
          <w:tcPr>
            <w:tcW w:w="1157" w:type="pct"/>
          </w:tcPr>
          <w:p w14:paraId="126235CC" w14:textId="77777777" w:rsidR="00BB37CC" w:rsidRPr="00F66630" w:rsidRDefault="00BB37CC" w:rsidP="004627E0">
            <w:pPr>
              <w:contextualSpacing/>
              <w:rPr>
                <w:rFonts w:ascii="Times New Roman" w:hAnsi="Times New Roman"/>
                <w:b/>
                <w:bCs/>
              </w:rPr>
            </w:pPr>
            <w:r w:rsidRPr="00F66630">
              <w:rPr>
                <w:rFonts w:ascii="Times New Roman" w:hAnsi="Times New Roman"/>
                <w:i/>
              </w:rPr>
              <w:lastRenderedPageBreak/>
              <w:t>DLR 10.1 value</w:t>
            </w:r>
          </w:p>
        </w:tc>
        <w:tc>
          <w:tcPr>
            <w:tcW w:w="1956" w:type="pct"/>
            <w:shd w:val="clear" w:color="auto" w:fill="auto"/>
          </w:tcPr>
          <w:p w14:paraId="645E173F" w14:textId="77777777" w:rsidR="00BB37CC" w:rsidRPr="00F66630" w:rsidRDefault="00BB37CC" w:rsidP="004627E0">
            <w:pPr>
              <w:spacing w:after="120"/>
              <w:rPr>
                <w:rFonts w:ascii="Times New Roman" w:hAnsi="Times New Roman"/>
              </w:rPr>
            </w:pPr>
            <w:r w:rsidRPr="00F66630">
              <w:rPr>
                <w:rFonts w:ascii="Times New Roman" w:hAnsi="Times New Roman"/>
                <w:i/>
              </w:rPr>
              <w:t>$1.0 million per state</w:t>
            </w:r>
          </w:p>
        </w:tc>
        <w:tc>
          <w:tcPr>
            <w:tcW w:w="1887" w:type="pct"/>
            <w:shd w:val="clear" w:color="auto" w:fill="auto"/>
          </w:tcPr>
          <w:p w14:paraId="08AEA521" w14:textId="77777777" w:rsidR="00BB37CC" w:rsidRPr="00F66630" w:rsidRDefault="00BB37CC" w:rsidP="004627E0">
            <w:pPr>
              <w:spacing w:after="120"/>
              <w:rPr>
                <w:rFonts w:ascii="Times New Roman" w:hAnsi="Times New Roman"/>
              </w:rPr>
            </w:pPr>
            <w:r w:rsidRPr="00F66630">
              <w:rPr>
                <w:rFonts w:ascii="Times New Roman" w:hAnsi="Times New Roman"/>
                <w:i/>
              </w:rPr>
              <w:t>$1.0 million per state</w:t>
            </w:r>
          </w:p>
        </w:tc>
      </w:tr>
      <w:tr w:rsidR="00BB37CC" w:rsidRPr="00F66630" w14:paraId="3D116AB2" w14:textId="77777777" w:rsidTr="00B515AA">
        <w:trPr>
          <w:trHeight w:val="332"/>
        </w:trPr>
        <w:tc>
          <w:tcPr>
            <w:tcW w:w="1157" w:type="pct"/>
          </w:tcPr>
          <w:p w14:paraId="4AD0B699" w14:textId="77777777" w:rsidR="00BB37CC" w:rsidRPr="00F66630" w:rsidRDefault="00BB37CC" w:rsidP="004627E0">
            <w:pPr>
              <w:contextualSpacing/>
              <w:rPr>
                <w:rFonts w:ascii="Times New Roman" w:hAnsi="Times New Roman"/>
                <w:b/>
                <w:bCs/>
              </w:rPr>
            </w:pPr>
            <w:r w:rsidRPr="00F66630">
              <w:rPr>
                <w:rFonts w:ascii="Times New Roman" w:hAnsi="Times New Roman"/>
                <w:i/>
              </w:rPr>
              <w:t>DLR 10.2 value</w:t>
            </w:r>
          </w:p>
        </w:tc>
        <w:tc>
          <w:tcPr>
            <w:tcW w:w="1956" w:type="pct"/>
            <w:shd w:val="clear" w:color="auto" w:fill="auto"/>
          </w:tcPr>
          <w:p w14:paraId="6484562C" w14:textId="77777777" w:rsidR="00BB37CC" w:rsidRPr="00F66630" w:rsidRDefault="00BB37CC" w:rsidP="004627E0">
            <w:pPr>
              <w:spacing w:after="120"/>
              <w:rPr>
                <w:rFonts w:ascii="Times New Roman" w:hAnsi="Times New Roman"/>
              </w:rPr>
            </w:pPr>
          </w:p>
        </w:tc>
        <w:tc>
          <w:tcPr>
            <w:tcW w:w="1887" w:type="pct"/>
            <w:shd w:val="clear" w:color="auto" w:fill="auto"/>
          </w:tcPr>
          <w:p w14:paraId="43EAC447" w14:textId="77777777" w:rsidR="00BB37CC" w:rsidRPr="00F66630" w:rsidRDefault="00BB37CC" w:rsidP="004627E0">
            <w:pPr>
              <w:spacing w:after="120"/>
              <w:rPr>
                <w:rFonts w:ascii="Times New Roman" w:hAnsi="Times New Roman"/>
                <w:i/>
              </w:rPr>
            </w:pPr>
            <w:r w:rsidRPr="00F66630">
              <w:rPr>
                <w:rFonts w:ascii="Times New Roman" w:hAnsi="Times New Roman"/>
                <w:i/>
              </w:rPr>
              <w:t xml:space="preserve">$2.0 million per state </w:t>
            </w:r>
          </w:p>
          <w:p w14:paraId="2078C005" w14:textId="77777777" w:rsidR="00BB37CC" w:rsidRPr="00F66630" w:rsidRDefault="00BB37CC" w:rsidP="004627E0">
            <w:pPr>
              <w:spacing w:after="120"/>
              <w:rPr>
                <w:rFonts w:ascii="Times New Roman" w:hAnsi="Times New Roman"/>
              </w:rPr>
            </w:pPr>
            <w:r w:rsidRPr="00F66630">
              <w:rPr>
                <w:rFonts w:ascii="Times New Roman" w:hAnsi="Times New Roman"/>
                <w:i/>
              </w:rPr>
              <w:t xml:space="preserve">Scalable at US$ 205,000 for every monthly publication under (a) and US$ 325,000 for every </w:t>
            </w:r>
            <w:r w:rsidRPr="00F66630">
              <w:rPr>
                <w:rFonts w:ascii="Times New Roman" w:hAnsi="Times New Roman"/>
                <w:i/>
              </w:rPr>
              <w:lastRenderedPageBreak/>
              <w:t>quarterly publication under (b)</w:t>
            </w:r>
          </w:p>
        </w:tc>
      </w:tr>
      <w:tr w:rsidR="00BB37CC" w:rsidRPr="00F66630" w14:paraId="6B73AD75" w14:textId="77777777" w:rsidTr="00B515AA">
        <w:trPr>
          <w:trHeight w:val="332"/>
        </w:trPr>
        <w:tc>
          <w:tcPr>
            <w:tcW w:w="1157" w:type="pct"/>
          </w:tcPr>
          <w:p w14:paraId="603708CD" w14:textId="77777777" w:rsidR="00BB37CC" w:rsidRPr="00F66630" w:rsidRDefault="00BB37CC" w:rsidP="004627E0">
            <w:pPr>
              <w:contextualSpacing/>
              <w:rPr>
                <w:rFonts w:ascii="Times New Roman" w:hAnsi="Times New Roman"/>
                <w:i/>
              </w:rPr>
            </w:pPr>
            <w:r w:rsidRPr="00F66630">
              <w:rPr>
                <w:rFonts w:ascii="Times New Roman" w:hAnsi="Times New Roman"/>
                <w:i/>
              </w:rPr>
              <w:lastRenderedPageBreak/>
              <w:t>DLR 10.3 value</w:t>
            </w:r>
          </w:p>
        </w:tc>
        <w:tc>
          <w:tcPr>
            <w:tcW w:w="1956" w:type="pct"/>
            <w:shd w:val="clear" w:color="auto" w:fill="auto"/>
          </w:tcPr>
          <w:p w14:paraId="18AA1EB9" w14:textId="77777777" w:rsidR="00BB37CC" w:rsidRPr="00F66630" w:rsidRDefault="00BB37CC" w:rsidP="004627E0">
            <w:pPr>
              <w:spacing w:after="120"/>
              <w:rPr>
                <w:rFonts w:ascii="Times New Roman" w:hAnsi="Times New Roman"/>
              </w:rPr>
            </w:pPr>
          </w:p>
        </w:tc>
        <w:tc>
          <w:tcPr>
            <w:tcW w:w="1887" w:type="pct"/>
            <w:shd w:val="clear" w:color="auto" w:fill="auto"/>
          </w:tcPr>
          <w:p w14:paraId="51696EEE" w14:textId="66FC6F5D" w:rsidR="00AE4CBD" w:rsidRPr="00F66630" w:rsidRDefault="00BB37CC" w:rsidP="004627E0">
            <w:pPr>
              <w:spacing w:after="120"/>
              <w:rPr>
                <w:rFonts w:ascii="Times New Roman" w:hAnsi="Times New Roman"/>
                <w:i/>
              </w:rPr>
            </w:pPr>
            <w:r w:rsidRPr="00F66630">
              <w:rPr>
                <w:rFonts w:ascii="Times New Roman" w:hAnsi="Times New Roman"/>
                <w:i/>
              </w:rPr>
              <w:t>$2.0 million per state</w:t>
            </w:r>
          </w:p>
        </w:tc>
      </w:tr>
      <w:tr w:rsidR="00BB37CC" w:rsidRPr="00F66630" w14:paraId="436F9AA1" w14:textId="77777777" w:rsidTr="00B515AA">
        <w:trPr>
          <w:trHeight w:val="332"/>
        </w:trPr>
        <w:tc>
          <w:tcPr>
            <w:tcW w:w="1157" w:type="pct"/>
          </w:tcPr>
          <w:p w14:paraId="4FD262AE" w14:textId="03B0BE93" w:rsidR="00BB37CC" w:rsidRPr="00F66630" w:rsidRDefault="00BB37CC" w:rsidP="004627E0">
            <w:pPr>
              <w:contextualSpacing/>
              <w:rPr>
                <w:rFonts w:ascii="Times New Roman" w:hAnsi="Times New Roman"/>
              </w:rPr>
            </w:pPr>
            <w:r w:rsidRPr="00F66630">
              <w:rPr>
                <w:rFonts w:ascii="Times New Roman" w:hAnsi="Times New Roman"/>
                <w:b/>
                <w:bCs/>
              </w:rPr>
              <w:t xml:space="preserve">DLI </w:t>
            </w:r>
            <w:r w:rsidR="009879D9" w:rsidRPr="00F66630">
              <w:rPr>
                <w:rFonts w:ascii="Times New Roman" w:hAnsi="Times New Roman"/>
                <w:b/>
                <w:bCs/>
              </w:rPr>
              <w:t>11: Provided</w:t>
            </w:r>
            <w:r w:rsidRPr="00F66630">
              <w:rPr>
                <w:rFonts w:ascii="Times New Roman" w:hAnsi="Times New Roman"/>
                <w:b/>
                <w:bCs/>
              </w:rPr>
              <w:t xml:space="preserve"> structured tax relief in response to COVID-19 and strengthened tax administration (personal income tax and property taxation) to enhance non-oil tax collection in the resilient recovery phase</w:t>
            </w:r>
          </w:p>
        </w:tc>
        <w:tc>
          <w:tcPr>
            <w:tcW w:w="1956" w:type="pct"/>
            <w:shd w:val="clear" w:color="auto" w:fill="auto"/>
          </w:tcPr>
          <w:p w14:paraId="5CC44590" w14:textId="77777777" w:rsidR="00BB37CC" w:rsidRPr="00F66630" w:rsidRDefault="00BB37CC" w:rsidP="004627E0">
            <w:pPr>
              <w:spacing w:after="120"/>
              <w:rPr>
                <w:rFonts w:ascii="Times New Roman" w:hAnsi="Times New Roman"/>
              </w:rPr>
            </w:pPr>
            <w:r w:rsidRPr="00F66630">
              <w:rPr>
                <w:rFonts w:ascii="Times New Roman" w:hAnsi="Times New Roman"/>
              </w:rPr>
              <w:t xml:space="preserve">11.1 No later than July 31, 2020, a timebound tax compliance relief program for individual taxpayers and businesses, which meets the criteria set out in the Verification Protocol, been approved by the Chair of the State Board of Internal Revenue or the State Commissioner of Finance of the Participating </w:t>
            </w:r>
            <w:proofErr w:type="gramStart"/>
            <w:r w:rsidRPr="00F66630">
              <w:rPr>
                <w:rFonts w:ascii="Times New Roman" w:hAnsi="Times New Roman"/>
              </w:rPr>
              <w:t>State,  and</w:t>
            </w:r>
            <w:proofErr w:type="gramEnd"/>
            <w:r w:rsidRPr="00F66630">
              <w:rPr>
                <w:rFonts w:ascii="Times New Roman" w:hAnsi="Times New Roman"/>
              </w:rPr>
              <w:t xml:space="preserve"> published on a State official website and through a press release; and</w:t>
            </w:r>
          </w:p>
          <w:p w14:paraId="70AD9EC5" w14:textId="77777777" w:rsidR="00BB37CC" w:rsidRPr="00F66630" w:rsidRDefault="00BB37CC" w:rsidP="004627E0">
            <w:pPr>
              <w:spacing w:after="120"/>
              <w:rPr>
                <w:rFonts w:ascii="Times New Roman" w:hAnsi="Times New Roman"/>
              </w:rPr>
            </w:pPr>
            <w:r w:rsidRPr="00F66630">
              <w:rPr>
                <w:rFonts w:ascii="Times New Roman" w:hAnsi="Times New Roman"/>
              </w:rPr>
              <w:t>No later than September 30, 2020, government guidelines for the implementation of the announced tax compliance relief program has been issued by the Board of Internal Revenue or the Ministry of Finance of the Participating State to tax administration officials and agents.</w:t>
            </w:r>
          </w:p>
        </w:tc>
        <w:tc>
          <w:tcPr>
            <w:tcW w:w="1887" w:type="pct"/>
            <w:shd w:val="clear" w:color="auto" w:fill="auto"/>
          </w:tcPr>
          <w:p w14:paraId="4FB0D643" w14:textId="7D493067" w:rsidR="00BB37CC" w:rsidRPr="0060103A" w:rsidRDefault="00BB37CC" w:rsidP="004627E0">
            <w:pPr>
              <w:spacing w:after="120"/>
              <w:rPr>
                <w:rFonts w:ascii="Times New Roman" w:hAnsi="Times New Roman"/>
              </w:rPr>
            </w:pPr>
            <w:r w:rsidRPr="00B0675C">
              <w:rPr>
                <w:rFonts w:ascii="Times New Roman" w:hAnsi="Times New Roman"/>
              </w:rPr>
              <w:t>11.2 No later than June 30, 2021, the Participating State has issued a regulation prohibiting, on a prospective basis, the contracting of private consultants for the asses</w:t>
            </w:r>
            <w:r w:rsidRPr="0060103A">
              <w:rPr>
                <w:rFonts w:ascii="Times New Roman" w:hAnsi="Times New Roman"/>
              </w:rPr>
              <w:t xml:space="preserve">sment and collection of personal income tax, which is the sole responsibility of the state revenue agency; and no such contracts have been entered into or renewed during the period starting on September 1, </w:t>
            </w:r>
            <w:proofErr w:type="gramStart"/>
            <w:r w:rsidRPr="0060103A">
              <w:rPr>
                <w:rFonts w:ascii="Times New Roman" w:hAnsi="Times New Roman"/>
              </w:rPr>
              <w:t>2020</w:t>
            </w:r>
            <w:proofErr w:type="gramEnd"/>
            <w:r w:rsidRPr="0060103A">
              <w:rPr>
                <w:rFonts w:ascii="Times New Roman" w:hAnsi="Times New Roman"/>
              </w:rPr>
              <w:t xml:space="preserve"> through the date of issuance of such regulation</w:t>
            </w:r>
          </w:p>
          <w:p w14:paraId="04283A29" w14:textId="597EFE4E" w:rsidR="00BB37CC" w:rsidRPr="0060103A" w:rsidRDefault="00BB37CC" w:rsidP="004627E0">
            <w:pPr>
              <w:spacing w:after="120"/>
              <w:rPr>
                <w:rFonts w:ascii="Times New Roman" w:hAnsi="Times New Roman"/>
              </w:rPr>
            </w:pPr>
            <w:r w:rsidRPr="0060103A">
              <w:rPr>
                <w:rFonts w:ascii="Times New Roman" w:hAnsi="Times New Roman"/>
              </w:rPr>
              <w:t xml:space="preserve">11.3 No later than </w:t>
            </w:r>
            <w:r w:rsidR="009879D9" w:rsidRPr="0060103A">
              <w:rPr>
                <w:rFonts w:ascii="Times New Roman" w:hAnsi="Times New Roman"/>
              </w:rPr>
              <w:t>June 30</w:t>
            </w:r>
            <w:r w:rsidRPr="0060103A">
              <w:rPr>
                <w:rFonts w:ascii="Times New Roman" w:hAnsi="Times New Roman"/>
              </w:rPr>
              <w:t>, 202</w:t>
            </w:r>
            <w:r w:rsidR="009879D9" w:rsidRPr="0060103A">
              <w:rPr>
                <w:rFonts w:ascii="Times New Roman" w:hAnsi="Times New Roman"/>
              </w:rPr>
              <w:t>2</w:t>
            </w:r>
            <w:r w:rsidRPr="0060103A">
              <w:rPr>
                <w:rFonts w:ascii="Times New Roman" w:hAnsi="Times New Roman"/>
              </w:rPr>
              <w:t xml:space="preserve">, the property records for at least </w:t>
            </w:r>
            <w:r w:rsidR="00EB56BF" w:rsidRPr="00DC56F7">
              <w:rPr>
                <w:rFonts w:ascii="Times New Roman" w:hAnsi="Times New Roman"/>
                <w:highlight w:val="yellow"/>
              </w:rPr>
              <w:t>20</w:t>
            </w:r>
            <w:r w:rsidR="0036220B" w:rsidRPr="00DC56F7">
              <w:rPr>
                <w:rFonts w:ascii="Times New Roman" w:hAnsi="Times New Roman"/>
                <w:highlight w:val="yellow"/>
              </w:rPr>
              <w:t>%</w:t>
            </w:r>
            <w:r w:rsidR="00FD6B43" w:rsidRPr="00DC56F7">
              <w:rPr>
                <w:rFonts w:ascii="Times New Roman" w:hAnsi="Times New Roman"/>
                <w:highlight w:val="yellow"/>
              </w:rPr>
              <w:t xml:space="preserve"> (bas</w:t>
            </w:r>
            <w:r w:rsidR="00E96DDC" w:rsidRPr="00DC56F7">
              <w:rPr>
                <w:rFonts w:ascii="Times New Roman" w:hAnsi="Times New Roman"/>
                <w:highlight w:val="yellow"/>
              </w:rPr>
              <w:t>ic</w:t>
            </w:r>
            <w:r w:rsidR="00FD6B43" w:rsidRPr="00DC56F7">
              <w:rPr>
                <w:rFonts w:ascii="Times New Roman" w:hAnsi="Times New Roman"/>
                <w:highlight w:val="yellow"/>
              </w:rPr>
              <w:t xml:space="preserve">) </w:t>
            </w:r>
            <w:r w:rsidR="00785A0B" w:rsidRPr="00DC56F7">
              <w:rPr>
                <w:rFonts w:ascii="Times New Roman" w:hAnsi="Times New Roman"/>
                <w:highlight w:val="yellow"/>
              </w:rPr>
              <w:t xml:space="preserve">or </w:t>
            </w:r>
            <w:r w:rsidRPr="00DC56F7">
              <w:rPr>
                <w:rFonts w:ascii="Times New Roman" w:hAnsi="Times New Roman"/>
                <w:highlight w:val="yellow"/>
              </w:rPr>
              <w:t>50%</w:t>
            </w:r>
            <w:r w:rsidR="00785A0B" w:rsidRPr="00DC56F7">
              <w:rPr>
                <w:rFonts w:ascii="Times New Roman" w:hAnsi="Times New Roman"/>
                <w:highlight w:val="yellow"/>
              </w:rPr>
              <w:t xml:space="preserve"> (stretch)</w:t>
            </w:r>
            <w:r w:rsidRPr="00B0675C">
              <w:rPr>
                <w:rFonts w:ascii="Times New Roman" w:hAnsi="Times New Roman"/>
              </w:rPr>
              <w:t xml:space="preserve"> of properties that have electricity connections in Urban Areas in the Participating State have been completed or updated per criteria set out in the Verification Protocol,  stored i</w:t>
            </w:r>
            <w:r w:rsidRPr="0060103A">
              <w:rPr>
                <w:rFonts w:ascii="Times New Roman" w:hAnsi="Times New Roman"/>
              </w:rPr>
              <w:t>n an electronic database, with said records to be valid as on September 1, 2020 or later; and the Participating State has established institutional arrangements per criteria set out in the Verification Protocol to use the property records to improve or start  the collection of property tax.</w:t>
            </w:r>
          </w:p>
          <w:p w14:paraId="164BE5BA" w14:textId="77777777" w:rsidR="00365E61" w:rsidRPr="00DC56F7" w:rsidRDefault="00365E61" w:rsidP="00365E61">
            <w:pPr>
              <w:rPr>
                <w:rFonts w:ascii="Times New Roman" w:hAnsi="Times New Roman"/>
                <w:highlight w:val="yellow"/>
              </w:rPr>
            </w:pPr>
            <w:r w:rsidRPr="00DC56F7">
              <w:rPr>
                <w:rFonts w:ascii="Times New Roman" w:hAnsi="Times New Roman"/>
                <w:b/>
                <w:highlight w:val="yellow"/>
              </w:rPr>
              <w:t>-Basic target:</w:t>
            </w:r>
            <w:r w:rsidRPr="00DC56F7">
              <w:rPr>
                <w:rFonts w:ascii="Times New Roman" w:hAnsi="Times New Roman"/>
                <w:highlight w:val="yellow"/>
              </w:rPr>
              <w:t xml:space="preserve"> </w:t>
            </w:r>
          </w:p>
          <w:p w14:paraId="78B8D833" w14:textId="2DA2AE91" w:rsidR="00365E61" w:rsidRPr="00DC56F7" w:rsidRDefault="0060103A" w:rsidP="00365E61">
            <w:pPr>
              <w:rPr>
                <w:rFonts w:ascii="Times New Roman" w:hAnsi="Times New Roman"/>
                <w:highlight w:val="yellow"/>
              </w:rPr>
            </w:pPr>
            <w:r w:rsidRPr="00DC56F7">
              <w:rPr>
                <w:rFonts w:ascii="Times New Roman" w:hAnsi="Times New Roman"/>
                <w:highlight w:val="yellow"/>
              </w:rPr>
              <w:t>&gt;=</w:t>
            </w:r>
            <w:r w:rsidR="00365E61" w:rsidRPr="00DC56F7">
              <w:rPr>
                <w:rFonts w:ascii="Times New Roman" w:hAnsi="Times New Roman"/>
                <w:highlight w:val="yellow"/>
              </w:rPr>
              <w:t xml:space="preserve"> 20%</w:t>
            </w:r>
            <w:r w:rsidR="00365E61" w:rsidRPr="00DC56F7">
              <w:rPr>
                <w:rFonts w:ascii="Times New Roman" w:hAnsi="Times New Roman"/>
                <w:highlight w:val="yellow"/>
              </w:rPr>
              <w:br/>
            </w:r>
            <w:r w:rsidR="00365E61" w:rsidRPr="00DC56F7">
              <w:rPr>
                <w:rFonts w:ascii="Times New Roman" w:hAnsi="Times New Roman"/>
                <w:b/>
                <w:highlight w:val="yellow"/>
              </w:rPr>
              <w:t>-Stretch target:</w:t>
            </w:r>
            <w:r w:rsidR="00365E61" w:rsidRPr="00DC56F7">
              <w:rPr>
                <w:rFonts w:ascii="Times New Roman" w:hAnsi="Times New Roman"/>
                <w:highlight w:val="yellow"/>
              </w:rPr>
              <w:t xml:space="preserve"> </w:t>
            </w:r>
          </w:p>
          <w:p w14:paraId="4E18BB5B" w14:textId="24E7EB67" w:rsidR="00365E61" w:rsidRPr="00B0675C" w:rsidRDefault="0060103A" w:rsidP="00365E61">
            <w:pPr>
              <w:spacing w:after="120"/>
              <w:rPr>
                <w:rFonts w:ascii="Times New Roman" w:hAnsi="Times New Roman"/>
              </w:rPr>
            </w:pPr>
            <w:r w:rsidRPr="00DC56F7">
              <w:rPr>
                <w:rFonts w:ascii="Times New Roman" w:hAnsi="Times New Roman"/>
                <w:highlight w:val="yellow"/>
              </w:rPr>
              <w:t>&gt;= 50</w:t>
            </w:r>
            <w:r w:rsidR="00365E61" w:rsidRPr="00DC56F7">
              <w:rPr>
                <w:rFonts w:ascii="Times New Roman" w:hAnsi="Times New Roman"/>
                <w:highlight w:val="yellow"/>
              </w:rPr>
              <w:t>%</w:t>
            </w:r>
          </w:p>
        </w:tc>
      </w:tr>
      <w:tr w:rsidR="00BB37CC" w:rsidRPr="00F66630" w14:paraId="2C2A9DC1" w14:textId="77777777" w:rsidTr="00B515AA">
        <w:trPr>
          <w:trHeight w:val="332"/>
        </w:trPr>
        <w:tc>
          <w:tcPr>
            <w:tcW w:w="1157" w:type="pct"/>
          </w:tcPr>
          <w:p w14:paraId="0DBB889B" w14:textId="77777777" w:rsidR="00BB37CC" w:rsidRPr="00F66630" w:rsidRDefault="00BB37CC" w:rsidP="004627E0">
            <w:pPr>
              <w:contextualSpacing/>
              <w:rPr>
                <w:rFonts w:ascii="Times New Roman" w:hAnsi="Times New Roman"/>
              </w:rPr>
            </w:pPr>
            <w:r w:rsidRPr="00F66630">
              <w:rPr>
                <w:rFonts w:ascii="Times New Roman" w:hAnsi="Times New Roman"/>
                <w:i/>
              </w:rPr>
              <w:t>DLR 11.1 value</w:t>
            </w:r>
          </w:p>
        </w:tc>
        <w:tc>
          <w:tcPr>
            <w:tcW w:w="1956" w:type="pct"/>
            <w:shd w:val="clear" w:color="auto" w:fill="auto"/>
          </w:tcPr>
          <w:p w14:paraId="7FA45658" w14:textId="77777777" w:rsidR="00BB37CC" w:rsidRPr="00F66630" w:rsidRDefault="00BB37CC" w:rsidP="004627E0">
            <w:pPr>
              <w:spacing w:after="120"/>
              <w:rPr>
                <w:rFonts w:ascii="Times New Roman" w:hAnsi="Times New Roman"/>
              </w:rPr>
            </w:pPr>
            <w:r w:rsidRPr="00F66630">
              <w:rPr>
                <w:rFonts w:ascii="Times New Roman" w:hAnsi="Times New Roman"/>
                <w:i/>
              </w:rPr>
              <w:t>$2.5 million per state</w:t>
            </w:r>
          </w:p>
        </w:tc>
        <w:tc>
          <w:tcPr>
            <w:tcW w:w="1887" w:type="pct"/>
            <w:shd w:val="clear" w:color="auto" w:fill="auto"/>
          </w:tcPr>
          <w:p w14:paraId="5E9168C6" w14:textId="77777777" w:rsidR="00BB37CC" w:rsidRPr="00F66630" w:rsidRDefault="00BB37CC" w:rsidP="004627E0">
            <w:pPr>
              <w:spacing w:after="120"/>
              <w:rPr>
                <w:rFonts w:ascii="Times New Roman" w:hAnsi="Times New Roman"/>
              </w:rPr>
            </w:pPr>
          </w:p>
        </w:tc>
      </w:tr>
      <w:tr w:rsidR="00BB37CC" w:rsidRPr="00F66630" w14:paraId="1A0F88AB" w14:textId="77777777" w:rsidTr="00B515AA">
        <w:trPr>
          <w:trHeight w:val="332"/>
        </w:trPr>
        <w:tc>
          <w:tcPr>
            <w:tcW w:w="1157" w:type="pct"/>
          </w:tcPr>
          <w:p w14:paraId="79F2B254" w14:textId="77777777" w:rsidR="00BB37CC" w:rsidRPr="00F66630" w:rsidRDefault="00BB37CC" w:rsidP="004627E0">
            <w:pPr>
              <w:contextualSpacing/>
              <w:rPr>
                <w:rFonts w:ascii="Times New Roman" w:hAnsi="Times New Roman"/>
                <w:i/>
              </w:rPr>
            </w:pPr>
            <w:r w:rsidRPr="00F66630">
              <w:rPr>
                <w:rFonts w:ascii="Times New Roman" w:hAnsi="Times New Roman"/>
                <w:i/>
              </w:rPr>
              <w:t>DLR 11.2 value</w:t>
            </w:r>
          </w:p>
        </w:tc>
        <w:tc>
          <w:tcPr>
            <w:tcW w:w="1956" w:type="pct"/>
            <w:shd w:val="clear" w:color="auto" w:fill="auto"/>
          </w:tcPr>
          <w:p w14:paraId="773D2C37" w14:textId="77777777" w:rsidR="00BB37CC" w:rsidRPr="00F66630" w:rsidRDefault="00BB37CC" w:rsidP="004627E0">
            <w:pPr>
              <w:spacing w:after="120"/>
              <w:rPr>
                <w:rFonts w:ascii="Times New Roman" w:hAnsi="Times New Roman"/>
                <w:i/>
              </w:rPr>
            </w:pPr>
          </w:p>
        </w:tc>
        <w:tc>
          <w:tcPr>
            <w:tcW w:w="1887" w:type="pct"/>
            <w:shd w:val="clear" w:color="auto" w:fill="auto"/>
          </w:tcPr>
          <w:p w14:paraId="00D638FD" w14:textId="77777777" w:rsidR="00BB37CC" w:rsidRPr="00F66630" w:rsidRDefault="00BB37CC" w:rsidP="004627E0">
            <w:pPr>
              <w:spacing w:after="120"/>
              <w:rPr>
                <w:rFonts w:ascii="Times New Roman" w:hAnsi="Times New Roman"/>
              </w:rPr>
            </w:pPr>
            <w:r w:rsidRPr="00F66630">
              <w:rPr>
                <w:rFonts w:ascii="Times New Roman" w:hAnsi="Times New Roman"/>
                <w:i/>
              </w:rPr>
              <w:t>$1.0 million per state</w:t>
            </w:r>
          </w:p>
        </w:tc>
      </w:tr>
      <w:tr w:rsidR="00BB37CC" w:rsidRPr="00F66630" w14:paraId="28809CE0" w14:textId="77777777" w:rsidTr="00B515AA">
        <w:trPr>
          <w:trHeight w:val="332"/>
        </w:trPr>
        <w:tc>
          <w:tcPr>
            <w:tcW w:w="1157" w:type="pct"/>
          </w:tcPr>
          <w:p w14:paraId="60FACE84" w14:textId="3C8ADA3D" w:rsidR="00BB37CC" w:rsidRPr="00DC56F7" w:rsidRDefault="00BB37CC" w:rsidP="004627E0">
            <w:pPr>
              <w:contextualSpacing/>
              <w:rPr>
                <w:rFonts w:ascii="Times New Roman" w:hAnsi="Times New Roman"/>
                <w:i/>
                <w:highlight w:val="yellow"/>
              </w:rPr>
            </w:pPr>
            <w:r w:rsidRPr="00DC56F7">
              <w:rPr>
                <w:rFonts w:ascii="Times New Roman" w:hAnsi="Times New Roman"/>
                <w:i/>
                <w:highlight w:val="yellow"/>
              </w:rPr>
              <w:t xml:space="preserve">DLR 11.3 </w:t>
            </w:r>
            <w:r w:rsidR="0060103A" w:rsidRPr="00DC56F7">
              <w:rPr>
                <w:rFonts w:ascii="Times New Roman" w:hAnsi="Times New Roman"/>
                <w:i/>
                <w:highlight w:val="yellow"/>
              </w:rPr>
              <w:t>Bas</w:t>
            </w:r>
            <w:r w:rsidR="009A5DC8" w:rsidRPr="00DC56F7">
              <w:rPr>
                <w:rFonts w:ascii="Times New Roman" w:hAnsi="Times New Roman"/>
                <w:i/>
                <w:highlight w:val="yellow"/>
              </w:rPr>
              <w:t xml:space="preserve">ic </w:t>
            </w:r>
            <w:r w:rsidRPr="00DC56F7">
              <w:rPr>
                <w:rFonts w:ascii="Times New Roman" w:hAnsi="Times New Roman"/>
                <w:i/>
                <w:highlight w:val="yellow"/>
              </w:rPr>
              <w:t>value</w:t>
            </w:r>
          </w:p>
        </w:tc>
        <w:tc>
          <w:tcPr>
            <w:tcW w:w="1956" w:type="pct"/>
            <w:shd w:val="clear" w:color="auto" w:fill="auto"/>
          </w:tcPr>
          <w:p w14:paraId="4FCC3E6F" w14:textId="77777777" w:rsidR="00BB37CC" w:rsidRPr="00DC56F7" w:rsidRDefault="00BB37CC" w:rsidP="004627E0">
            <w:pPr>
              <w:spacing w:after="120"/>
              <w:rPr>
                <w:rFonts w:ascii="Times New Roman" w:hAnsi="Times New Roman"/>
                <w:i/>
                <w:highlight w:val="yellow"/>
              </w:rPr>
            </w:pPr>
          </w:p>
        </w:tc>
        <w:tc>
          <w:tcPr>
            <w:tcW w:w="1887" w:type="pct"/>
            <w:shd w:val="clear" w:color="auto" w:fill="auto"/>
          </w:tcPr>
          <w:p w14:paraId="6983F8B8" w14:textId="27885ABD" w:rsidR="00BB37CC" w:rsidRPr="00DC56F7" w:rsidRDefault="00BB37CC" w:rsidP="004627E0">
            <w:pPr>
              <w:spacing w:after="120"/>
              <w:rPr>
                <w:rFonts w:ascii="Times New Roman" w:hAnsi="Times New Roman"/>
                <w:highlight w:val="yellow"/>
              </w:rPr>
            </w:pPr>
            <w:r w:rsidRPr="00DC56F7">
              <w:rPr>
                <w:rFonts w:ascii="Times New Roman" w:hAnsi="Times New Roman"/>
                <w:i/>
                <w:highlight w:val="yellow"/>
              </w:rPr>
              <w:t>$</w:t>
            </w:r>
            <w:r w:rsidR="009A5DC8" w:rsidRPr="00DC56F7">
              <w:rPr>
                <w:rFonts w:ascii="Times New Roman" w:hAnsi="Times New Roman"/>
                <w:i/>
                <w:highlight w:val="yellow"/>
              </w:rPr>
              <w:t>1</w:t>
            </w:r>
            <w:r w:rsidRPr="00DC56F7">
              <w:rPr>
                <w:rFonts w:ascii="Times New Roman" w:hAnsi="Times New Roman"/>
                <w:i/>
                <w:highlight w:val="yellow"/>
              </w:rPr>
              <w:t>.5 million per state</w:t>
            </w:r>
          </w:p>
        </w:tc>
      </w:tr>
      <w:tr w:rsidR="009A5DC8" w:rsidRPr="00F66630" w14:paraId="11B44082" w14:textId="77777777" w:rsidTr="00B515AA">
        <w:trPr>
          <w:trHeight w:val="332"/>
        </w:trPr>
        <w:tc>
          <w:tcPr>
            <w:tcW w:w="1157" w:type="pct"/>
          </w:tcPr>
          <w:p w14:paraId="7C2B9929" w14:textId="49A57F52" w:rsidR="009A5DC8" w:rsidRPr="00DC56F7" w:rsidRDefault="009A5DC8" w:rsidP="009A5DC8">
            <w:pPr>
              <w:contextualSpacing/>
              <w:rPr>
                <w:rFonts w:ascii="Times New Roman" w:hAnsi="Times New Roman"/>
                <w:i/>
                <w:highlight w:val="yellow"/>
              </w:rPr>
            </w:pPr>
            <w:r w:rsidRPr="00DC56F7">
              <w:rPr>
                <w:rFonts w:ascii="Times New Roman" w:hAnsi="Times New Roman"/>
                <w:i/>
                <w:highlight w:val="yellow"/>
              </w:rPr>
              <w:lastRenderedPageBreak/>
              <w:t>DLR 11.3 Stretch value</w:t>
            </w:r>
          </w:p>
        </w:tc>
        <w:tc>
          <w:tcPr>
            <w:tcW w:w="1956" w:type="pct"/>
            <w:shd w:val="clear" w:color="auto" w:fill="auto"/>
          </w:tcPr>
          <w:p w14:paraId="2F9FC44A" w14:textId="77777777" w:rsidR="009A5DC8" w:rsidRPr="00DC56F7" w:rsidRDefault="009A5DC8" w:rsidP="009A5DC8">
            <w:pPr>
              <w:spacing w:after="120"/>
              <w:rPr>
                <w:rFonts w:ascii="Times New Roman" w:hAnsi="Times New Roman"/>
                <w:i/>
                <w:highlight w:val="yellow"/>
              </w:rPr>
            </w:pPr>
          </w:p>
        </w:tc>
        <w:tc>
          <w:tcPr>
            <w:tcW w:w="1887" w:type="pct"/>
            <w:shd w:val="clear" w:color="auto" w:fill="auto"/>
          </w:tcPr>
          <w:p w14:paraId="1F3A113E" w14:textId="734649E7" w:rsidR="009A5DC8" w:rsidRPr="00DC56F7" w:rsidRDefault="009A5DC8" w:rsidP="009A5DC8">
            <w:pPr>
              <w:spacing w:after="120"/>
              <w:rPr>
                <w:rFonts w:ascii="Times New Roman" w:hAnsi="Times New Roman"/>
                <w:i/>
                <w:highlight w:val="yellow"/>
              </w:rPr>
            </w:pPr>
            <w:r w:rsidRPr="00DC56F7">
              <w:rPr>
                <w:rFonts w:ascii="Times New Roman" w:hAnsi="Times New Roman"/>
                <w:i/>
                <w:highlight w:val="yellow"/>
              </w:rPr>
              <w:t>$2.5 million per state</w:t>
            </w:r>
          </w:p>
        </w:tc>
      </w:tr>
      <w:tr w:rsidR="009A5DC8" w:rsidRPr="00F66630" w14:paraId="3ADBFFE3" w14:textId="77777777" w:rsidTr="00BB37CC">
        <w:trPr>
          <w:trHeight w:val="332"/>
        </w:trPr>
        <w:tc>
          <w:tcPr>
            <w:tcW w:w="1157" w:type="pct"/>
          </w:tcPr>
          <w:p w14:paraId="690EF87E" w14:textId="4399D91C" w:rsidR="009A5DC8" w:rsidRPr="00F66630" w:rsidRDefault="009A5DC8" w:rsidP="009A5DC8">
            <w:pPr>
              <w:contextualSpacing/>
              <w:rPr>
                <w:rFonts w:ascii="Times New Roman" w:hAnsi="Times New Roman"/>
              </w:rPr>
            </w:pPr>
            <w:r w:rsidRPr="00F66630">
              <w:rPr>
                <w:rFonts w:ascii="Times New Roman" w:hAnsi="Times New Roman"/>
                <w:b/>
                <w:bCs/>
              </w:rPr>
              <w:t xml:space="preserve">DLI 12: Strengthened procurement function for COVID-19 or </w:t>
            </w:r>
            <w:proofErr w:type="gramStart"/>
            <w:r w:rsidRPr="00F66630">
              <w:rPr>
                <w:rFonts w:ascii="Times New Roman" w:hAnsi="Times New Roman"/>
                <w:b/>
                <w:bCs/>
              </w:rPr>
              <w:t>emergency situation</w:t>
            </w:r>
            <w:proofErr w:type="gramEnd"/>
            <w:r w:rsidRPr="00F66630">
              <w:rPr>
                <w:rFonts w:ascii="Times New Roman" w:hAnsi="Times New Roman"/>
                <w:b/>
                <w:bCs/>
              </w:rPr>
              <w:t xml:space="preserve"> and facilitated participation of SMEs in public procurement in the resilient recovery phase</w:t>
            </w:r>
          </w:p>
        </w:tc>
        <w:tc>
          <w:tcPr>
            <w:tcW w:w="1956" w:type="pct"/>
          </w:tcPr>
          <w:p w14:paraId="3F14CAE3" w14:textId="77777777" w:rsidR="009A5DC8" w:rsidRPr="00F66630" w:rsidRDefault="009A5DC8" w:rsidP="009A5DC8">
            <w:pPr>
              <w:spacing w:after="120"/>
              <w:rPr>
                <w:rFonts w:ascii="Times New Roman" w:hAnsi="Times New Roman"/>
              </w:rPr>
            </w:pPr>
            <w:r w:rsidRPr="00F66630">
              <w:rPr>
                <w:rFonts w:ascii="Times New Roman" w:hAnsi="Times New Roman"/>
              </w:rPr>
              <w:t xml:space="preserve">12.1. No later than September 30, 2020, the Public Procurement Authority (PPA) of the Participating State has issued guidelines, which meets the criteria set out in the Verification Protocol, for (i) the procurement of goods and services for COVID-19 and other emergency situations; and (ii) the adaptation of existing public procurement procedures to support the increase in participation of SMEs (the “SME Guidelines”); and </w:t>
            </w:r>
          </w:p>
          <w:p w14:paraId="1BB8349E" w14:textId="77777777" w:rsidR="009A5DC8" w:rsidRPr="00F66630" w:rsidRDefault="009A5DC8" w:rsidP="009A5DC8">
            <w:pPr>
              <w:spacing w:after="120"/>
              <w:rPr>
                <w:rFonts w:ascii="Times New Roman" w:hAnsi="Times New Roman"/>
              </w:rPr>
            </w:pPr>
            <w:r w:rsidRPr="00F66630">
              <w:rPr>
                <w:rFonts w:ascii="Times New Roman" w:hAnsi="Times New Roman"/>
              </w:rPr>
              <w:t>At least two training sessions for SMEs on the SME Guidelines have been held.</w:t>
            </w:r>
          </w:p>
        </w:tc>
        <w:tc>
          <w:tcPr>
            <w:tcW w:w="1887" w:type="pct"/>
          </w:tcPr>
          <w:p w14:paraId="04C75630" w14:textId="48F904E3" w:rsidR="009A5DC8" w:rsidRPr="00F66630" w:rsidRDefault="009A5DC8" w:rsidP="009A5DC8">
            <w:pPr>
              <w:spacing w:after="120"/>
              <w:rPr>
                <w:rFonts w:ascii="Times New Roman" w:hAnsi="Times New Roman"/>
              </w:rPr>
            </w:pPr>
            <w:r w:rsidRPr="00F66630">
              <w:rPr>
                <w:rFonts w:ascii="Times New Roman" w:hAnsi="Times New Roman"/>
              </w:rPr>
              <w:t>12.2. No later than June 30, 2021, the PPA has published on its official website, a list of all contracts executed to support the Participating State’s COVID-19 response in the fourth quarter of FY 2020 and the first quarter of FY 2021; and</w:t>
            </w:r>
          </w:p>
          <w:p w14:paraId="6E42192C" w14:textId="77777777" w:rsidR="009A5DC8" w:rsidRPr="00F66630" w:rsidRDefault="009A5DC8" w:rsidP="009A5DC8">
            <w:pPr>
              <w:spacing w:after="120"/>
              <w:rPr>
                <w:rFonts w:ascii="Times New Roman" w:hAnsi="Times New Roman"/>
              </w:rPr>
            </w:pPr>
            <w:r w:rsidRPr="00F66630">
              <w:rPr>
                <w:rFonts w:ascii="Times New Roman" w:hAnsi="Times New Roman"/>
              </w:rPr>
              <w:t xml:space="preserve">No later than September 30, 2021, the Participating State has awarded at least 20 more contracts to SMEs in the period after September 30, 2020, as compared to the period January 1, </w:t>
            </w:r>
            <w:proofErr w:type="gramStart"/>
            <w:r w:rsidRPr="00F66630">
              <w:rPr>
                <w:rFonts w:ascii="Times New Roman" w:hAnsi="Times New Roman"/>
              </w:rPr>
              <w:t>2020</w:t>
            </w:r>
            <w:proofErr w:type="gramEnd"/>
            <w:r w:rsidRPr="00F66630">
              <w:rPr>
                <w:rFonts w:ascii="Times New Roman" w:hAnsi="Times New Roman"/>
              </w:rPr>
              <w:t xml:space="preserve"> to 30 September, 2020</w:t>
            </w:r>
          </w:p>
        </w:tc>
      </w:tr>
      <w:tr w:rsidR="009A5DC8" w:rsidRPr="00F66630" w14:paraId="117F186A" w14:textId="77777777" w:rsidTr="00BB37CC">
        <w:trPr>
          <w:trHeight w:val="305"/>
        </w:trPr>
        <w:tc>
          <w:tcPr>
            <w:tcW w:w="1157" w:type="pct"/>
          </w:tcPr>
          <w:p w14:paraId="28029799" w14:textId="77777777" w:rsidR="009A5DC8" w:rsidRPr="00F66630" w:rsidRDefault="009A5DC8" w:rsidP="009A5DC8">
            <w:pPr>
              <w:contextualSpacing/>
              <w:rPr>
                <w:rFonts w:ascii="Times New Roman" w:hAnsi="Times New Roman"/>
              </w:rPr>
            </w:pPr>
            <w:r w:rsidRPr="00F66630">
              <w:rPr>
                <w:rFonts w:ascii="Times New Roman" w:hAnsi="Times New Roman"/>
                <w:i/>
              </w:rPr>
              <w:t>DLR 12 value</w:t>
            </w:r>
          </w:p>
        </w:tc>
        <w:tc>
          <w:tcPr>
            <w:tcW w:w="1956" w:type="pct"/>
          </w:tcPr>
          <w:p w14:paraId="3EAC0EA3" w14:textId="77777777" w:rsidR="009A5DC8" w:rsidRPr="00F66630" w:rsidRDefault="009A5DC8" w:rsidP="009A5DC8">
            <w:pPr>
              <w:spacing w:after="120"/>
              <w:rPr>
                <w:rFonts w:ascii="Times New Roman" w:hAnsi="Times New Roman"/>
              </w:rPr>
            </w:pPr>
            <w:r w:rsidRPr="00F66630">
              <w:rPr>
                <w:rFonts w:ascii="Times New Roman" w:hAnsi="Times New Roman"/>
                <w:i/>
              </w:rPr>
              <w:t>$2.5 million per state</w:t>
            </w:r>
          </w:p>
        </w:tc>
        <w:tc>
          <w:tcPr>
            <w:tcW w:w="1887" w:type="pct"/>
          </w:tcPr>
          <w:p w14:paraId="69BA5B67" w14:textId="77777777" w:rsidR="009A5DC8" w:rsidRPr="00F66630" w:rsidRDefault="009A5DC8" w:rsidP="009A5DC8">
            <w:pPr>
              <w:spacing w:after="120"/>
              <w:rPr>
                <w:rFonts w:ascii="Times New Roman" w:hAnsi="Times New Roman"/>
              </w:rPr>
            </w:pPr>
            <w:r w:rsidRPr="00F66630">
              <w:rPr>
                <w:rFonts w:ascii="Times New Roman" w:hAnsi="Times New Roman"/>
                <w:i/>
              </w:rPr>
              <w:t>$1.5 million per state</w:t>
            </w:r>
          </w:p>
        </w:tc>
      </w:tr>
      <w:tr w:rsidR="009A5DC8" w:rsidRPr="00F66630" w14:paraId="4332F365" w14:textId="77777777" w:rsidTr="00BB37CC">
        <w:trPr>
          <w:trHeight w:val="332"/>
        </w:trPr>
        <w:tc>
          <w:tcPr>
            <w:tcW w:w="1157" w:type="pct"/>
          </w:tcPr>
          <w:p w14:paraId="53D86702" w14:textId="002ADA1F" w:rsidR="009A5DC8" w:rsidRPr="00F66630" w:rsidRDefault="009A5DC8" w:rsidP="009A5DC8">
            <w:pPr>
              <w:contextualSpacing/>
              <w:rPr>
                <w:rFonts w:ascii="Times New Roman" w:hAnsi="Times New Roman"/>
                <w:b/>
                <w:bCs/>
              </w:rPr>
            </w:pPr>
            <w:r w:rsidRPr="00F66630">
              <w:rPr>
                <w:rFonts w:ascii="Times New Roman" w:hAnsi="Times New Roman"/>
                <w:b/>
                <w:bCs/>
                <w:szCs w:val="24"/>
              </w:rPr>
              <w:t>DLI 13: Established a fiscally sustainable response to COVID-19 through COVID-19 responsive budgets</w:t>
            </w:r>
          </w:p>
        </w:tc>
        <w:tc>
          <w:tcPr>
            <w:tcW w:w="1956" w:type="pct"/>
          </w:tcPr>
          <w:p w14:paraId="571EFB37" w14:textId="77777777" w:rsidR="009A5DC8" w:rsidRPr="00F66630" w:rsidRDefault="009A5DC8" w:rsidP="009A5DC8">
            <w:pPr>
              <w:spacing w:after="120"/>
              <w:rPr>
                <w:rFonts w:ascii="Times New Roman" w:hAnsi="Times New Roman"/>
              </w:rPr>
            </w:pPr>
            <w:r w:rsidRPr="00F66630">
              <w:rPr>
                <w:rFonts w:ascii="Times New Roman" w:hAnsi="Times New Roman"/>
              </w:rPr>
              <w:t>13.1 No later than July 31, 2020, an Amended 2020 State budget, which meets the criteria set out in the Verification Protocol, has been approved by the House of Assembly of the Participating State, assented to by the Governor, and published on a State official website.</w:t>
            </w:r>
          </w:p>
          <w:p w14:paraId="5A98453F" w14:textId="77777777" w:rsidR="009A5DC8" w:rsidRPr="00F66630" w:rsidRDefault="009A5DC8" w:rsidP="009A5DC8">
            <w:pPr>
              <w:spacing w:after="120"/>
              <w:rPr>
                <w:rFonts w:ascii="Times New Roman" w:hAnsi="Times New Roman"/>
                <w:iCs/>
              </w:rPr>
            </w:pPr>
            <w:r w:rsidRPr="00F66630">
              <w:rPr>
                <w:rFonts w:ascii="Times New Roman" w:hAnsi="Times New Roman"/>
                <w:iCs/>
              </w:rPr>
              <w:t xml:space="preserve">13.2 The Participating State has executed at least 90 percent of the tagged COVID-19 response expenditures in their Amended 2020 State Budget, </w:t>
            </w:r>
            <w:r w:rsidRPr="00F66630">
              <w:rPr>
                <w:rFonts w:ascii="Times New Roman" w:hAnsi="Times New Roman"/>
              </w:rPr>
              <w:t>per criteria set out in the Verification Protocol</w:t>
            </w:r>
            <w:r w:rsidRPr="00F66630">
              <w:rPr>
                <w:rFonts w:ascii="Times New Roman" w:hAnsi="Times New Roman"/>
                <w:iCs/>
              </w:rPr>
              <w:t>.</w:t>
            </w:r>
          </w:p>
        </w:tc>
        <w:tc>
          <w:tcPr>
            <w:tcW w:w="1887" w:type="pct"/>
          </w:tcPr>
          <w:p w14:paraId="1EA55AAE" w14:textId="77777777" w:rsidR="009A5DC8" w:rsidRPr="00F66630" w:rsidRDefault="009A5DC8" w:rsidP="009A5DC8">
            <w:pPr>
              <w:spacing w:after="120"/>
              <w:rPr>
                <w:rFonts w:ascii="Times New Roman" w:hAnsi="Times New Roman"/>
                <w:iCs/>
              </w:rPr>
            </w:pPr>
            <w:r w:rsidRPr="00F66630">
              <w:rPr>
                <w:rFonts w:ascii="Times New Roman" w:hAnsi="Times New Roman"/>
                <w:iCs/>
              </w:rPr>
              <w:t xml:space="preserve">13.3 The Participating State has executed at least 90 percent of the tagged COVID-19 response expenditures in their 2021 State Budget, </w:t>
            </w:r>
            <w:r w:rsidRPr="00F66630">
              <w:rPr>
                <w:rFonts w:ascii="Times New Roman" w:hAnsi="Times New Roman"/>
              </w:rPr>
              <w:t>per criteria set out in the Verification Protocol</w:t>
            </w:r>
            <w:r w:rsidRPr="00F66630">
              <w:rPr>
                <w:rFonts w:ascii="Times New Roman" w:hAnsi="Times New Roman"/>
                <w:iCs/>
              </w:rPr>
              <w:t>.</w:t>
            </w:r>
          </w:p>
        </w:tc>
      </w:tr>
      <w:tr w:rsidR="009A5DC8" w:rsidRPr="00F66630" w14:paraId="42C1E7FA" w14:textId="77777777" w:rsidTr="00BB37CC">
        <w:trPr>
          <w:trHeight w:val="332"/>
        </w:trPr>
        <w:tc>
          <w:tcPr>
            <w:tcW w:w="1157" w:type="pct"/>
          </w:tcPr>
          <w:p w14:paraId="1AF0BAAF" w14:textId="77777777" w:rsidR="009A5DC8" w:rsidRPr="00F66630" w:rsidRDefault="009A5DC8" w:rsidP="009A5DC8">
            <w:pPr>
              <w:contextualSpacing/>
              <w:rPr>
                <w:rFonts w:ascii="Times New Roman" w:hAnsi="Times New Roman"/>
                <w:i/>
              </w:rPr>
            </w:pPr>
            <w:r w:rsidRPr="00F66630">
              <w:rPr>
                <w:rFonts w:ascii="Times New Roman" w:hAnsi="Times New Roman"/>
                <w:i/>
              </w:rPr>
              <w:t>DLR 13.1 value</w:t>
            </w:r>
          </w:p>
        </w:tc>
        <w:tc>
          <w:tcPr>
            <w:tcW w:w="1956" w:type="pct"/>
          </w:tcPr>
          <w:p w14:paraId="69B1597B" w14:textId="77777777" w:rsidR="009A5DC8" w:rsidRPr="00F66630" w:rsidRDefault="009A5DC8" w:rsidP="009A5DC8">
            <w:pPr>
              <w:spacing w:after="120"/>
              <w:rPr>
                <w:rFonts w:ascii="Times New Roman" w:hAnsi="Times New Roman"/>
              </w:rPr>
            </w:pPr>
            <w:r w:rsidRPr="00F66630">
              <w:rPr>
                <w:rFonts w:ascii="Times New Roman" w:hAnsi="Times New Roman"/>
                <w:i/>
              </w:rPr>
              <w:t>$5.0 million per state</w:t>
            </w:r>
          </w:p>
        </w:tc>
        <w:tc>
          <w:tcPr>
            <w:tcW w:w="1887" w:type="pct"/>
          </w:tcPr>
          <w:p w14:paraId="53C2BE44" w14:textId="77777777" w:rsidR="009A5DC8" w:rsidRPr="00F66630" w:rsidRDefault="009A5DC8" w:rsidP="009A5DC8">
            <w:pPr>
              <w:spacing w:after="120"/>
              <w:rPr>
                <w:rFonts w:ascii="Times New Roman" w:hAnsi="Times New Roman"/>
                <w:i/>
              </w:rPr>
            </w:pPr>
          </w:p>
        </w:tc>
      </w:tr>
      <w:tr w:rsidR="009A5DC8" w:rsidRPr="00F66630" w14:paraId="45526267" w14:textId="77777777" w:rsidTr="00BB37CC">
        <w:trPr>
          <w:trHeight w:val="332"/>
        </w:trPr>
        <w:tc>
          <w:tcPr>
            <w:tcW w:w="1157" w:type="pct"/>
          </w:tcPr>
          <w:p w14:paraId="23ED3717" w14:textId="77777777" w:rsidR="009A5DC8" w:rsidRPr="00F66630" w:rsidRDefault="009A5DC8" w:rsidP="009A5DC8">
            <w:pPr>
              <w:contextualSpacing/>
              <w:rPr>
                <w:rFonts w:ascii="Times New Roman" w:hAnsi="Times New Roman"/>
                <w:i/>
              </w:rPr>
            </w:pPr>
            <w:r w:rsidRPr="00F66630">
              <w:rPr>
                <w:rFonts w:ascii="Times New Roman" w:hAnsi="Times New Roman"/>
                <w:i/>
              </w:rPr>
              <w:t>DLR 13.2 value</w:t>
            </w:r>
          </w:p>
        </w:tc>
        <w:tc>
          <w:tcPr>
            <w:tcW w:w="1956" w:type="pct"/>
          </w:tcPr>
          <w:p w14:paraId="3973EE3C" w14:textId="77777777" w:rsidR="009A5DC8" w:rsidRPr="00F66630" w:rsidRDefault="009A5DC8" w:rsidP="009A5DC8">
            <w:pPr>
              <w:spacing w:after="120"/>
              <w:rPr>
                <w:rFonts w:ascii="Times New Roman" w:hAnsi="Times New Roman"/>
              </w:rPr>
            </w:pPr>
            <w:r w:rsidRPr="00F66630">
              <w:rPr>
                <w:rFonts w:ascii="Times New Roman" w:hAnsi="Times New Roman"/>
                <w:i/>
              </w:rPr>
              <w:t>$1.0 million per state</w:t>
            </w:r>
          </w:p>
        </w:tc>
        <w:tc>
          <w:tcPr>
            <w:tcW w:w="1887" w:type="pct"/>
          </w:tcPr>
          <w:p w14:paraId="2F875189" w14:textId="77777777" w:rsidR="009A5DC8" w:rsidRPr="00F66630" w:rsidRDefault="009A5DC8" w:rsidP="009A5DC8">
            <w:pPr>
              <w:spacing w:after="120"/>
              <w:rPr>
                <w:rFonts w:ascii="Times New Roman" w:hAnsi="Times New Roman"/>
                <w:i/>
              </w:rPr>
            </w:pPr>
          </w:p>
        </w:tc>
      </w:tr>
      <w:tr w:rsidR="009A5DC8" w:rsidRPr="00F66630" w14:paraId="176006D4" w14:textId="77777777" w:rsidTr="00BB37CC">
        <w:trPr>
          <w:trHeight w:val="332"/>
        </w:trPr>
        <w:tc>
          <w:tcPr>
            <w:tcW w:w="1157" w:type="pct"/>
          </w:tcPr>
          <w:p w14:paraId="0495E4D6" w14:textId="77777777" w:rsidR="009A5DC8" w:rsidRPr="00F66630" w:rsidRDefault="009A5DC8" w:rsidP="009A5DC8">
            <w:pPr>
              <w:contextualSpacing/>
              <w:rPr>
                <w:rFonts w:ascii="Times New Roman" w:hAnsi="Times New Roman"/>
                <w:i/>
              </w:rPr>
            </w:pPr>
            <w:r w:rsidRPr="00F66630">
              <w:rPr>
                <w:rFonts w:ascii="Times New Roman" w:hAnsi="Times New Roman"/>
                <w:i/>
              </w:rPr>
              <w:t>DLR 13.3 value</w:t>
            </w:r>
          </w:p>
        </w:tc>
        <w:tc>
          <w:tcPr>
            <w:tcW w:w="1956" w:type="pct"/>
          </w:tcPr>
          <w:p w14:paraId="7C506565" w14:textId="77777777" w:rsidR="009A5DC8" w:rsidRPr="00F66630" w:rsidRDefault="009A5DC8" w:rsidP="009A5DC8">
            <w:pPr>
              <w:spacing w:after="120"/>
              <w:rPr>
                <w:rFonts w:ascii="Times New Roman" w:hAnsi="Times New Roman"/>
              </w:rPr>
            </w:pPr>
          </w:p>
        </w:tc>
        <w:tc>
          <w:tcPr>
            <w:tcW w:w="1887" w:type="pct"/>
          </w:tcPr>
          <w:p w14:paraId="334ED026" w14:textId="77777777" w:rsidR="009A5DC8" w:rsidRPr="00F66630" w:rsidRDefault="009A5DC8" w:rsidP="009A5DC8">
            <w:pPr>
              <w:spacing w:after="120"/>
              <w:rPr>
                <w:rFonts w:ascii="Times New Roman" w:hAnsi="Times New Roman"/>
                <w:i/>
              </w:rPr>
            </w:pPr>
            <w:r w:rsidRPr="00F66630">
              <w:rPr>
                <w:rFonts w:ascii="Times New Roman" w:hAnsi="Times New Roman"/>
                <w:i/>
              </w:rPr>
              <w:t>$1.0 million per state</w:t>
            </w:r>
          </w:p>
        </w:tc>
      </w:tr>
    </w:tbl>
    <w:p w14:paraId="54E51985" w14:textId="350DC4A7" w:rsidR="00D816F3" w:rsidRPr="00F66630" w:rsidRDefault="00D816F3">
      <w:pPr>
        <w:rPr>
          <w:rFonts w:ascii="Times New Roman" w:eastAsia="Times New Roman" w:hAnsi="Times New Roman" w:cs="Times New Roman"/>
          <w:b/>
          <w:color w:val="000000"/>
          <w:sz w:val="24"/>
          <w:szCs w:val="24"/>
          <w:lang w:eastAsia="en-GB"/>
        </w:rPr>
      </w:pPr>
    </w:p>
    <w:p w14:paraId="6C33F702" w14:textId="375158D1" w:rsidR="00BE535C" w:rsidRPr="00F66630" w:rsidRDefault="005661C6" w:rsidP="008E1CB5">
      <w:pPr>
        <w:pStyle w:val="Minh"/>
        <w:numPr>
          <w:ilvl w:val="0"/>
          <w:numId w:val="9"/>
        </w:numPr>
        <w:spacing w:before="0"/>
        <w:jc w:val="left"/>
        <w:outlineLvl w:val="0"/>
        <w:rPr>
          <w:b/>
        </w:rPr>
      </w:pPr>
      <w:bookmarkStart w:id="13" w:name="_Toc107345844"/>
      <w:r w:rsidRPr="00F66630">
        <w:rPr>
          <w:b/>
        </w:rPr>
        <w:t xml:space="preserve">IVA </w:t>
      </w:r>
      <w:r w:rsidR="00C93565" w:rsidRPr="00F66630">
        <w:rPr>
          <w:b/>
        </w:rPr>
        <w:t>Performance Assessment Guidelines</w:t>
      </w:r>
      <w:r w:rsidR="0013526E" w:rsidRPr="00F66630">
        <w:rPr>
          <w:b/>
        </w:rPr>
        <w:t xml:space="preserve"> for the </w:t>
      </w:r>
      <w:r w:rsidR="00B213A2" w:rsidRPr="00F66630">
        <w:rPr>
          <w:b/>
        </w:rPr>
        <w:t>Original and New DLIs and EC</w:t>
      </w:r>
      <w:bookmarkEnd w:id="13"/>
    </w:p>
    <w:p w14:paraId="447F9214" w14:textId="28A63E4F" w:rsidR="00C93565" w:rsidRPr="00F66630" w:rsidRDefault="00C93565" w:rsidP="002C3B16">
      <w:pPr>
        <w:pStyle w:val="Minh"/>
        <w:numPr>
          <w:ilvl w:val="0"/>
          <w:numId w:val="0"/>
        </w:numPr>
        <w:spacing w:before="0"/>
        <w:ind w:left="360" w:hanging="360"/>
        <w:rPr>
          <w:b/>
        </w:rPr>
      </w:pPr>
      <w:r w:rsidRPr="00F66630">
        <w:rPr>
          <w:b/>
        </w:rPr>
        <w:t>Timing</w:t>
      </w:r>
      <w:r w:rsidR="00487CAA" w:rsidRPr="00F66630">
        <w:rPr>
          <w:b/>
        </w:rPr>
        <w:t xml:space="preserve"> and Definitions</w:t>
      </w:r>
    </w:p>
    <w:p w14:paraId="18061D61" w14:textId="4042938F" w:rsidR="00B86763" w:rsidRPr="00F66630" w:rsidRDefault="007D5B31" w:rsidP="00E36965">
      <w:pPr>
        <w:pStyle w:val="Minh"/>
        <w:numPr>
          <w:ilvl w:val="0"/>
          <w:numId w:val="30"/>
        </w:numPr>
        <w:spacing w:before="0"/>
      </w:pPr>
      <w:r w:rsidRPr="00F66630" w:rsidDel="007D5B31">
        <w:lastRenderedPageBreak/>
        <w:t xml:space="preserve"> </w:t>
      </w:r>
      <w:r w:rsidR="002D1936" w:rsidRPr="00F66630">
        <w:t>“</w:t>
      </w:r>
      <w:r w:rsidR="00B86763" w:rsidRPr="00F66630">
        <w:t>Year</w:t>
      </w:r>
      <w:r w:rsidR="002D1936" w:rsidRPr="00F66630">
        <w:t xml:space="preserve">” </w:t>
      </w:r>
      <w:r w:rsidR="00B86763" w:rsidRPr="00F66630">
        <w:t xml:space="preserve">refers to the </w:t>
      </w:r>
      <w:r w:rsidR="00880306" w:rsidRPr="00F66630">
        <w:t xml:space="preserve">fiscal </w:t>
      </w:r>
      <w:r w:rsidR="00B86763" w:rsidRPr="00F66630">
        <w:t>year</w:t>
      </w:r>
      <w:r w:rsidR="002D1936" w:rsidRPr="00F66630">
        <w:t xml:space="preserve"> (unless stated otherwise)</w:t>
      </w:r>
      <w:r w:rsidR="00B86763" w:rsidRPr="00F66630">
        <w:t xml:space="preserve">, which is the same as the </w:t>
      </w:r>
      <w:r w:rsidR="00880306" w:rsidRPr="00F66630">
        <w:t xml:space="preserve">calendar year running from </w:t>
      </w:r>
      <w:r w:rsidR="00B86763" w:rsidRPr="00F66630">
        <w:t>1</w:t>
      </w:r>
      <w:r w:rsidR="00B86763" w:rsidRPr="00F66630">
        <w:rPr>
          <w:vertAlign w:val="superscript"/>
        </w:rPr>
        <w:t>st</w:t>
      </w:r>
      <w:r w:rsidR="00B86763" w:rsidRPr="00F66630">
        <w:t xml:space="preserve"> January to 31</w:t>
      </w:r>
      <w:r w:rsidR="00B86763" w:rsidRPr="00F66630">
        <w:rPr>
          <w:vertAlign w:val="superscript"/>
        </w:rPr>
        <w:t>st</w:t>
      </w:r>
      <w:r w:rsidR="00B86763" w:rsidRPr="00F66630">
        <w:t xml:space="preserve"> December. </w:t>
      </w:r>
      <w:r w:rsidR="00880306" w:rsidRPr="00F66630">
        <w:t>“Year-end” refers to 31</w:t>
      </w:r>
      <w:r w:rsidR="00880306" w:rsidRPr="00F66630">
        <w:rPr>
          <w:vertAlign w:val="superscript"/>
        </w:rPr>
        <w:t>st</w:t>
      </w:r>
      <w:r w:rsidR="00880306" w:rsidRPr="00F66630">
        <w:t xml:space="preserve"> December.</w:t>
      </w:r>
    </w:p>
    <w:p w14:paraId="2BF27D88" w14:textId="4964A492" w:rsidR="00121A83" w:rsidRPr="00F66630" w:rsidRDefault="00A11022" w:rsidP="00E36965">
      <w:pPr>
        <w:pStyle w:val="Minh"/>
        <w:numPr>
          <w:ilvl w:val="0"/>
          <w:numId w:val="30"/>
        </w:numPr>
        <w:spacing w:before="0"/>
      </w:pPr>
      <w:r w:rsidRPr="00F66630">
        <w:t xml:space="preserve">The IVA’s </w:t>
      </w:r>
      <w:r w:rsidR="00932C16" w:rsidRPr="00F66630">
        <w:t xml:space="preserve">performance </w:t>
      </w:r>
      <w:r w:rsidR="00121A83" w:rsidRPr="00F66630">
        <w:t xml:space="preserve">assessments of </w:t>
      </w:r>
      <w:r w:rsidR="00BE0406" w:rsidRPr="00F66630">
        <w:t xml:space="preserve">the </w:t>
      </w:r>
      <w:r w:rsidR="005A0666" w:rsidRPr="00F66630">
        <w:t xml:space="preserve">Eligibility Criteria and DLRs </w:t>
      </w:r>
      <w:r w:rsidR="002E49CF" w:rsidRPr="00F66630">
        <w:t>will be</w:t>
      </w:r>
      <w:r w:rsidR="00CC0A6E" w:rsidRPr="00F66630">
        <w:t xml:space="preserve"> conducted </w:t>
      </w:r>
      <w:r w:rsidR="00BE0406" w:rsidRPr="00F66630">
        <w:t>annually</w:t>
      </w:r>
      <w:r w:rsidR="0013526E" w:rsidRPr="00F66630">
        <w:t>:</w:t>
      </w:r>
    </w:p>
    <w:p w14:paraId="031CFDF0" w14:textId="77777777" w:rsidR="00E14680" w:rsidRPr="00F66630" w:rsidRDefault="007D5B31" w:rsidP="00E36965">
      <w:pPr>
        <w:pStyle w:val="Minh"/>
        <w:numPr>
          <w:ilvl w:val="1"/>
          <w:numId w:val="30"/>
        </w:numPr>
        <w:spacing w:before="0"/>
      </w:pPr>
      <w:r w:rsidRPr="00F66630">
        <w:t>The 2018 Annual Performance Assessment (APA) refers to the assessment of the states’ performance against the Original DLRs</w:t>
      </w:r>
      <w:r w:rsidR="00B33468" w:rsidRPr="00F66630">
        <w:t xml:space="preserve"> and EC</w:t>
      </w:r>
      <w:r w:rsidRPr="00F66630">
        <w:t xml:space="preserve"> for Year 1-2018</w:t>
      </w:r>
      <w:r w:rsidR="006A0867" w:rsidRPr="00F66630">
        <w:t xml:space="preserve">. Due to delays in Program effectiveness, this started </w:t>
      </w:r>
      <w:r w:rsidR="001E6389" w:rsidRPr="00F66630">
        <w:t xml:space="preserve">in Dec 2019 </w:t>
      </w:r>
      <w:r w:rsidR="006A0867" w:rsidRPr="00F66630">
        <w:t xml:space="preserve">and </w:t>
      </w:r>
      <w:r w:rsidR="00624C6A" w:rsidRPr="00F66630">
        <w:t>finished</w:t>
      </w:r>
      <w:r w:rsidR="006A0867" w:rsidRPr="00F66630">
        <w:t xml:space="preserve"> in </w:t>
      </w:r>
      <w:r w:rsidR="001E6389" w:rsidRPr="00F66630">
        <w:t>March 2020</w:t>
      </w:r>
      <w:r w:rsidRPr="00F66630">
        <w:t xml:space="preserve">. </w:t>
      </w:r>
    </w:p>
    <w:p w14:paraId="391D7854" w14:textId="102FCE64" w:rsidR="007D5B31" w:rsidRPr="00F66630" w:rsidRDefault="007D5B31" w:rsidP="00E36965">
      <w:pPr>
        <w:pStyle w:val="Minh"/>
        <w:numPr>
          <w:ilvl w:val="1"/>
          <w:numId w:val="30"/>
        </w:numPr>
        <w:spacing w:before="0"/>
      </w:pPr>
      <w:r w:rsidRPr="00F66630">
        <w:t xml:space="preserve">The 2019 APA refers to </w:t>
      </w:r>
      <w:r w:rsidR="001E6389" w:rsidRPr="00F66630">
        <w:t xml:space="preserve">the assessment of the states’ performance against the Original DLRs </w:t>
      </w:r>
      <w:r w:rsidR="00B33468" w:rsidRPr="00F66630">
        <w:t xml:space="preserve">and EC </w:t>
      </w:r>
      <w:r w:rsidR="001E6389" w:rsidRPr="00F66630">
        <w:t xml:space="preserve">for </w:t>
      </w:r>
      <w:r w:rsidRPr="00F66630">
        <w:t>Year 2-2019</w:t>
      </w:r>
      <w:r w:rsidR="00B33468" w:rsidRPr="00F66630">
        <w:t xml:space="preserve"> </w:t>
      </w:r>
      <w:r w:rsidR="008042FD" w:rsidRPr="00F66630">
        <w:t xml:space="preserve">and was completed by November </w:t>
      </w:r>
      <w:r w:rsidRPr="00F66630">
        <w:t>2020.</w:t>
      </w:r>
      <w:r w:rsidR="00CC0A6E" w:rsidRPr="00F66630">
        <w:t xml:space="preserve"> </w:t>
      </w:r>
      <w:r w:rsidR="00CC0A6E" w:rsidRPr="00F66630">
        <w:rPr>
          <w:i/>
          <w:iCs/>
        </w:rPr>
        <w:t xml:space="preserve">The NEW 2020 DLIs </w:t>
      </w:r>
      <w:r w:rsidR="008042FD" w:rsidRPr="00F66630">
        <w:rPr>
          <w:i/>
          <w:iCs/>
        </w:rPr>
        <w:t>were</w:t>
      </w:r>
      <w:r w:rsidR="00B161CA" w:rsidRPr="00F66630">
        <w:rPr>
          <w:i/>
          <w:iCs/>
        </w:rPr>
        <w:t xml:space="preserve"> assessed </w:t>
      </w:r>
      <w:r w:rsidR="0053229F" w:rsidRPr="00F66630">
        <w:rPr>
          <w:i/>
          <w:iCs/>
        </w:rPr>
        <w:t xml:space="preserve">between </w:t>
      </w:r>
      <w:r w:rsidR="004C74FE" w:rsidRPr="00F66630">
        <w:rPr>
          <w:i/>
          <w:iCs/>
        </w:rPr>
        <w:t>Aug</w:t>
      </w:r>
      <w:r w:rsidR="00BE0406" w:rsidRPr="00F66630">
        <w:rPr>
          <w:i/>
          <w:iCs/>
        </w:rPr>
        <w:t>ust</w:t>
      </w:r>
      <w:r w:rsidR="006A0867" w:rsidRPr="00F66630">
        <w:rPr>
          <w:i/>
          <w:iCs/>
        </w:rPr>
        <w:t xml:space="preserve"> </w:t>
      </w:r>
      <w:r w:rsidR="008042FD" w:rsidRPr="00F66630">
        <w:rPr>
          <w:i/>
          <w:iCs/>
        </w:rPr>
        <w:t>2020</w:t>
      </w:r>
      <w:r w:rsidR="00995552" w:rsidRPr="00F66630">
        <w:rPr>
          <w:i/>
          <w:iCs/>
        </w:rPr>
        <w:t xml:space="preserve"> </w:t>
      </w:r>
      <w:r w:rsidR="008042FD" w:rsidRPr="00F66630">
        <w:rPr>
          <w:i/>
          <w:iCs/>
        </w:rPr>
        <w:t>and February 2021</w:t>
      </w:r>
      <w:r w:rsidR="00B161CA" w:rsidRPr="00F66630">
        <w:rPr>
          <w:i/>
          <w:iCs/>
        </w:rPr>
        <w:t>.</w:t>
      </w:r>
    </w:p>
    <w:p w14:paraId="65A4FF07" w14:textId="2FB505F1" w:rsidR="002227D3" w:rsidRPr="00F66630" w:rsidRDefault="0039779D" w:rsidP="00E36965">
      <w:pPr>
        <w:pStyle w:val="Minh"/>
        <w:numPr>
          <w:ilvl w:val="1"/>
          <w:numId w:val="30"/>
        </w:numPr>
        <w:spacing w:before="0"/>
      </w:pPr>
      <w:r w:rsidRPr="00F66630">
        <w:t>The 2020 APA refers to the assessment of the states’ performance against the Original DLRs and EC for Year 3-2020</w:t>
      </w:r>
      <w:r w:rsidR="00B778FD" w:rsidRPr="00F66630">
        <w:t>.</w:t>
      </w:r>
      <w:r w:rsidRPr="00F66630">
        <w:t xml:space="preserve"> </w:t>
      </w:r>
      <w:r w:rsidR="00B778FD" w:rsidRPr="00F66630">
        <w:t xml:space="preserve">The </w:t>
      </w:r>
      <w:r w:rsidR="00D40E9F" w:rsidRPr="00F66630">
        <w:t>proposed timing of the APA is</w:t>
      </w:r>
      <w:r w:rsidR="00B0675C">
        <w:t xml:space="preserve"> </w:t>
      </w:r>
      <w:r w:rsidR="00B0675C" w:rsidRPr="00295640">
        <w:rPr>
          <w:highlight w:val="yellow"/>
        </w:rPr>
        <w:t>February</w:t>
      </w:r>
      <w:r w:rsidR="00D40E9F" w:rsidRPr="00F66630">
        <w:t xml:space="preserve"> to </w:t>
      </w:r>
      <w:r w:rsidR="00B0675C">
        <w:t>May</w:t>
      </w:r>
      <w:r w:rsidR="00B0675C" w:rsidRPr="00F66630">
        <w:t xml:space="preserve"> </w:t>
      </w:r>
      <w:r w:rsidR="00D40E9F" w:rsidRPr="00F66630">
        <w:t>202</w:t>
      </w:r>
      <w:r w:rsidR="009F6120" w:rsidRPr="00F66630">
        <w:t>2</w:t>
      </w:r>
      <w:r w:rsidR="00D40E9F" w:rsidRPr="00F66630">
        <w:t xml:space="preserve">. </w:t>
      </w:r>
    </w:p>
    <w:p w14:paraId="0DC93981" w14:textId="4EB1CBE9" w:rsidR="00B86763" w:rsidRPr="00F66630" w:rsidRDefault="00AC28B9" w:rsidP="00E36965">
      <w:pPr>
        <w:pStyle w:val="Minh"/>
        <w:numPr>
          <w:ilvl w:val="1"/>
          <w:numId w:val="30"/>
        </w:numPr>
        <w:spacing w:before="0"/>
      </w:pPr>
      <w:r w:rsidRPr="00F66630">
        <w:t xml:space="preserve">The 2021 APA refers to the assessment of the states’ performance against the Original DLRs and EC for Year 4-2021. The proposed timing of the APA is </w:t>
      </w:r>
      <w:r w:rsidR="00295640" w:rsidRPr="00295640">
        <w:rPr>
          <w:highlight w:val="yellow"/>
        </w:rPr>
        <w:t>July</w:t>
      </w:r>
      <w:r w:rsidR="00295640" w:rsidRPr="00F66630">
        <w:t xml:space="preserve"> </w:t>
      </w:r>
      <w:r w:rsidRPr="00F66630">
        <w:t>to October 2022</w:t>
      </w:r>
      <w:r w:rsidR="00B86763" w:rsidRPr="00F66630">
        <w:t xml:space="preserve">. </w:t>
      </w:r>
    </w:p>
    <w:p w14:paraId="4C7DC675" w14:textId="6604E333" w:rsidR="006B307D" w:rsidRPr="00F66630" w:rsidRDefault="006B307D" w:rsidP="006B307D">
      <w:pPr>
        <w:pStyle w:val="Minh"/>
        <w:numPr>
          <w:ilvl w:val="1"/>
          <w:numId w:val="30"/>
        </w:numPr>
        <w:spacing w:before="0"/>
      </w:pPr>
      <w:r w:rsidRPr="00F66630">
        <w:t>The NEW DLIs are planned to be assessed between July 2020 and September 2022.</w:t>
      </w:r>
    </w:p>
    <w:p w14:paraId="1ED55E04" w14:textId="1AABB407" w:rsidR="006B307D" w:rsidRPr="00F66630" w:rsidRDefault="006B307D" w:rsidP="006B307D">
      <w:pPr>
        <w:pStyle w:val="Minh"/>
        <w:numPr>
          <w:ilvl w:val="0"/>
          <w:numId w:val="0"/>
        </w:numPr>
        <w:spacing w:before="0"/>
        <w:ind w:left="1080"/>
      </w:pPr>
    </w:p>
    <w:tbl>
      <w:tblPr>
        <w:tblW w:w="4895"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87"/>
        <w:gridCol w:w="1618"/>
        <w:gridCol w:w="1532"/>
        <w:gridCol w:w="1529"/>
        <w:gridCol w:w="1440"/>
        <w:gridCol w:w="1532"/>
        <w:gridCol w:w="1440"/>
      </w:tblGrid>
      <w:tr w:rsidR="0036336D" w:rsidRPr="00F66630" w14:paraId="42837900" w14:textId="68D59045" w:rsidTr="00461733">
        <w:trPr>
          <w:trHeight w:val="266"/>
        </w:trPr>
        <w:tc>
          <w:tcPr>
            <w:tcW w:w="1415" w:type="pct"/>
            <w:shd w:val="clear" w:color="auto" w:fill="FFC000"/>
            <w:tcMar>
              <w:top w:w="0" w:type="dxa"/>
              <w:left w:w="108" w:type="dxa"/>
              <w:bottom w:w="0" w:type="dxa"/>
              <w:right w:w="108" w:type="dxa"/>
            </w:tcMar>
            <w:vAlign w:val="center"/>
            <w:hideMark/>
          </w:tcPr>
          <w:p w14:paraId="38BA8688" w14:textId="574D26AF" w:rsidR="0036336D" w:rsidRPr="00F66630" w:rsidRDefault="0036336D" w:rsidP="00353C7B">
            <w:pPr>
              <w:spacing w:after="0" w:line="240" w:lineRule="auto"/>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 xml:space="preserve">Performance Assessment </w:t>
            </w:r>
          </w:p>
          <w:p w14:paraId="30A5CFEA" w14:textId="0BDD9CD8" w:rsidR="0036336D" w:rsidRPr="00F66630" w:rsidRDefault="0036336D" w:rsidP="00353C7B">
            <w:pPr>
              <w:spacing w:after="0" w:line="240" w:lineRule="auto"/>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Estimated Timing</w:t>
            </w:r>
          </w:p>
        </w:tc>
        <w:tc>
          <w:tcPr>
            <w:tcW w:w="2413" w:type="pct"/>
            <w:gridSpan w:val="4"/>
            <w:shd w:val="clear" w:color="auto" w:fill="FFC000"/>
            <w:tcMar>
              <w:top w:w="0" w:type="dxa"/>
              <w:left w:w="108" w:type="dxa"/>
              <w:bottom w:w="0" w:type="dxa"/>
              <w:right w:w="108" w:type="dxa"/>
            </w:tcMar>
            <w:vAlign w:val="center"/>
          </w:tcPr>
          <w:p w14:paraId="20323E0F" w14:textId="43DA1E8A" w:rsidR="0036336D" w:rsidRPr="00F66630" w:rsidRDefault="0036336D" w:rsidP="008E1CB5">
            <w:pPr>
              <w:spacing w:after="0" w:line="240" w:lineRule="auto"/>
              <w:jc w:val="center"/>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ORIGINAL DLIs and EC</w:t>
            </w:r>
          </w:p>
        </w:tc>
        <w:tc>
          <w:tcPr>
            <w:tcW w:w="1172" w:type="pct"/>
            <w:gridSpan w:val="2"/>
            <w:shd w:val="clear" w:color="auto" w:fill="FFC000"/>
          </w:tcPr>
          <w:p w14:paraId="640C8792" w14:textId="4E94BF4F" w:rsidR="0036336D" w:rsidRPr="00F66630" w:rsidDel="00981AE5" w:rsidRDefault="0036336D" w:rsidP="008E1CB5">
            <w:pPr>
              <w:spacing w:after="0" w:line="240" w:lineRule="auto"/>
              <w:jc w:val="center"/>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NEW DLIs</w:t>
            </w:r>
            <w:r w:rsidR="00610B3D" w:rsidRPr="00F66630">
              <w:rPr>
                <w:rFonts w:ascii="Times New Roman" w:eastAsia="Calibri" w:hAnsi="Times New Roman" w:cs="Times New Roman"/>
                <w:b/>
                <w:bCs/>
                <w:color w:val="000000"/>
                <w:sz w:val="24"/>
                <w:szCs w:val="24"/>
              </w:rPr>
              <w:t xml:space="preserve"> </w:t>
            </w:r>
          </w:p>
        </w:tc>
      </w:tr>
      <w:tr w:rsidR="00BA3DEE" w:rsidRPr="00F66630" w14:paraId="47A4C11E" w14:textId="53E0E22D" w:rsidTr="00461733">
        <w:trPr>
          <w:trHeight w:val="266"/>
        </w:trPr>
        <w:tc>
          <w:tcPr>
            <w:tcW w:w="1415" w:type="pct"/>
            <w:shd w:val="clear" w:color="auto" w:fill="FFC000"/>
            <w:tcMar>
              <w:top w:w="0" w:type="dxa"/>
              <w:left w:w="108" w:type="dxa"/>
              <w:bottom w:w="0" w:type="dxa"/>
              <w:right w:w="108" w:type="dxa"/>
            </w:tcMar>
            <w:vAlign w:val="center"/>
          </w:tcPr>
          <w:p w14:paraId="54AA935D" w14:textId="0ADC9309" w:rsidR="00981AE5" w:rsidRPr="00F66630" w:rsidDel="00981AE5" w:rsidRDefault="0036336D" w:rsidP="00981AE5">
            <w:pPr>
              <w:spacing w:after="0" w:line="240" w:lineRule="auto"/>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Performance Year</w:t>
            </w:r>
          </w:p>
        </w:tc>
        <w:tc>
          <w:tcPr>
            <w:tcW w:w="638" w:type="pct"/>
            <w:shd w:val="clear" w:color="auto" w:fill="FFC000"/>
            <w:tcMar>
              <w:top w:w="0" w:type="dxa"/>
              <w:left w:w="108" w:type="dxa"/>
              <w:bottom w:w="0" w:type="dxa"/>
              <w:right w:w="108" w:type="dxa"/>
            </w:tcMar>
            <w:vAlign w:val="center"/>
          </w:tcPr>
          <w:p w14:paraId="2EE429E2" w14:textId="33E3F19C" w:rsidR="00981AE5" w:rsidRPr="00F66630" w:rsidRDefault="00981AE5" w:rsidP="006B5831">
            <w:pPr>
              <w:spacing w:after="0" w:line="240" w:lineRule="auto"/>
              <w:jc w:val="right"/>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Year 1/2018</w:t>
            </w:r>
          </w:p>
        </w:tc>
        <w:tc>
          <w:tcPr>
            <w:tcW w:w="604" w:type="pct"/>
            <w:shd w:val="clear" w:color="auto" w:fill="FFC000"/>
            <w:tcMar>
              <w:top w:w="0" w:type="dxa"/>
              <w:left w:w="108" w:type="dxa"/>
              <w:bottom w:w="0" w:type="dxa"/>
              <w:right w:w="108" w:type="dxa"/>
            </w:tcMar>
            <w:vAlign w:val="center"/>
          </w:tcPr>
          <w:p w14:paraId="02278771" w14:textId="4F563105" w:rsidR="00981AE5" w:rsidRPr="00F66630" w:rsidRDefault="00981AE5" w:rsidP="00981AE5">
            <w:pPr>
              <w:spacing w:after="0" w:line="240" w:lineRule="auto"/>
              <w:jc w:val="right"/>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Year 2/2019</w:t>
            </w:r>
          </w:p>
        </w:tc>
        <w:tc>
          <w:tcPr>
            <w:tcW w:w="603" w:type="pct"/>
            <w:shd w:val="clear" w:color="auto" w:fill="FFC000"/>
            <w:tcMar>
              <w:top w:w="0" w:type="dxa"/>
              <w:left w:w="108" w:type="dxa"/>
              <w:bottom w:w="0" w:type="dxa"/>
              <w:right w:w="108" w:type="dxa"/>
            </w:tcMar>
            <w:vAlign w:val="center"/>
          </w:tcPr>
          <w:p w14:paraId="4183A057" w14:textId="38A37558" w:rsidR="00981AE5" w:rsidRPr="00F66630" w:rsidRDefault="00981AE5" w:rsidP="00981AE5">
            <w:pPr>
              <w:spacing w:after="0" w:line="240" w:lineRule="auto"/>
              <w:jc w:val="right"/>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Year 3/2020</w:t>
            </w:r>
          </w:p>
        </w:tc>
        <w:tc>
          <w:tcPr>
            <w:tcW w:w="567" w:type="pct"/>
            <w:shd w:val="clear" w:color="auto" w:fill="FFC000"/>
            <w:vAlign w:val="center"/>
          </w:tcPr>
          <w:p w14:paraId="71AAFC7A" w14:textId="71D9735A" w:rsidR="00981AE5" w:rsidRPr="00F66630" w:rsidRDefault="00981AE5" w:rsidP="00981AE5">
            <w:pPr>
              <w:spacing w:after="0" w:line="240" w:lineRule="auto"/>
              <w:jc w:val="right"/>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Year 4/2021</w:t>
            </w:r>
          </w:p>
        </w:tc>
        <w:tc>
          <w:tcPr>
            <w:tcW w:w="604" w:type="pct"/>
            <w:shd w:val="clear" w:color="auto" w:fill="FFC000"/>
          </w:tcPr>
          <w:p w14:paraId="3F1013D0" w14:textId="0DDE4BD3" w:rsidR="00981AE5" w:rsidRPr="00F66630" w:rsidRDefault="0036336D" w:rsidP="00295640">
            <w:pPr>
              <w:spacing w:after="0" w:line="240" w:lineRule="auto"/>
              <w:jc w:val="center"/>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2020</w:t>
            </w:r>
          </w:p>
        </w:tc>
        <w:tc>
          <w:tcPr>
            <w:tcW w:w="567" w:type="pct"/>
            <w:shd w:val="clear" w:color="auto" w:fill="FFC000"/>
          </w:tcPr>
          <w:p w14:paraId="7551C3F1" w14:textId="66FBF832" w:rsidR="00981AE5" w:rsidRPr="00F66630" w:rsidRDefault="00E079ED" w:rsidP="00295640">
            <w:pPr>
              <w:spacing w:after="0" w:line="240" w:lineRule="auto"/>
              <w:jc w:val="center"/>
              <w:rPr>
                <w:rFonts w:ascii="Times New Roman" w:eastAsia="Calibri" w:hAnsi="Times New Roman" w:cs="Times New Roman"/>
                <w:b/>
                <w:bCs/>
                <w:color w:val="000000"/>
                <w:sz w:val="24"/>
                <w:szCs w:val="24"/>
              </w:rPr>
            </w:pPr>
            <w:r w:rsidRPr="00F66630">
              <w:rPr>
                <w:rFonts w:ascii="Times New Roman" w:eastAsia="Calibri" w:hAnsi="Times New Roman" w:cs="Times New Roman"/>
                <w:b/>
                <w:bCs/>
                <w:color w:val="000000"/>
                <w:sz w:val="24"/>
                <w:szCs w:val="24"/>
              </w:rPr>
              <w:t>2021</w:t>
            </w:r>
          </w:p>
        </w:tc>
      </w:tr>
      <w:tr w:rsidR="00BA3DEE" w:rsidRPr="00F66630" w14:paraId="2720278C" w14:textId="1F345677" w:rsidTr="00461733">
        <w:trPr>
          <w:trHeight w:val="266"/>
        </w:trPr>
        <w:tc>
          <w:tcPr>
            <w:tcW w:w="1415" w:type="pct"/>
            <w:shd w:val="clear" w:color="auto" w:fill="FFFFFF" w:themeFill="background1"/>
            <w:tcMar>
              <w:top w:w="0" w:type="dxa"/>
              <w:left w:w="108" w:type="dxa"/>
              <w:bottom w:w="0" w:type="dxa"/>
              <w:right w:w="108" w:type="dxa"/>
            </w:tcMar>
          </w:tcPr>
          <w:p w14:paraId="48C5CDA4" w14:textId="2C773D78" w:rsidR="00981AE5" w:rsidRPr="00F66630" w:rsidRDefault="00525203" w:rsidP="006B5831">
            <w:pPr>
              <w:spacing w:after="0" w:line="240" w:lineRule="auto"/>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States’ p</w:t>
            </w:r>
            <w:r w:rsidR="00981AE5" w:rsidRPr="00F66630">
              <w:rPr>
                <w:rFonts w:ascii="Times New Roman" w:hAnsi="Times New Roman" w:cs="Times New Roman"/>
                <w:bCs/>
                <w:color w:val="000000"/>
                <w:sz w:val="24"/>
                <w:szCs w:val="24"/>
              </w:rPr>
              <w:t>erformance period being assessed</w:t>
            </w:r>
          </w:p>
        </w:tc>
        <w:tc>
          <w:tcPr>
            <w:tcW w:w="638" w:type="pct"/>
            <w:shd w:val="clear" w:color="auto" w:fill="FFFFFF" w:themeFill="background1"/>
            <w:tcMar>
              <w:top w:w="0" w:type="dxa"/>
              <w:left w:w="108" w:type="dxa"/>
              <w:bottom w:w="0" w:type="dxa"/>
              <w:right w:w="108" w:type="dxa"/>
            </w:tcMar>
          </w:tcPr>
          <w:p w14:paraId="676EE1D8" w14:textId="77777777" w:rsidR="00981AE5" w:rsidRPr="00F66630" w:rsidRDefault="00981AE5" w:rsidP="00295640">
            <w:pPr>
              <w:spacing w:after="0" w:line="240" w:lineRule="auto"/>
              <w:jc w:val="center"/>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Jan-Dec 18</w:t>
            </w:r>
          </w:p>
        </w:tc>
        <w:tc>
          <w:tcPr>
            <w:tcW w:w="604" w:type="pct"/>
            <w:shd w:val="clear" w:color="auto" w:fill="FFFFFF" w:themeFill="background1"/>
            <w:tcMar>
              <w:top w:w="0" w:type="dxa"/>
              <w:left w:w="108" w:type="dxa"/>
              <w:bottom w:w="0" w:type="dxa"/>
              <w:right w:w="108" w:type="dxa"/>
            </w:tcMar>
          </w:tcPr>
          <w:p w14:paraId="23DB106F" w14:textId="77777777" w:rsidR="00981AE5" w:rsidRPr="00F66630" w:rsidRDefault="00981AE5" w:rsidP="00295640">
            <w:pPr>
              <w:spacing w:after="0" w:line="240" w:lineRule="auto"/>
              <w:jc w:val="center"/>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Jan-Dec 19</w:t>
            </w:r>
          </w:p>
        </w:tc>
        <w:tc>
          <w:tcPr>
            <w:tcW w:w="603" w:type="pct"/>
            <w:shd w:val="clear" w:color="auto" w:fill="FFFFFF" w:themeFill="background1"/>
            <w:tcMar>
              <w:top w:w="0" w:type="dxa"/>
              <w:left w:w="108" w:type="dxa"/>
              <w:bottom w:w="0" w:type="dxa"/>
              <w:right w:w="108" w:type="dxa"/>
            </w:tcMar>
          </w:tcPr>
          <w:p w14:paraId="26123A8F" w14:textId="77777777" w:rsidR="00981AE5" w:rsidRPr="00F66630" w:rsidRDefault="00981AE5" w:rsidP="00295640">
            <w:pPr>
              <w:spacing w:after="0" w:line="240" w:lineRule="auto"/>
              <w:jc w:val="center"/>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Jan-Dec 20</w:t>
            </w:r>
          </w:p>
        </w:tc>
        <w:tc>
          <w:tcPr>
            <w:tcW w:w="567" w:type="pct"/>
            <w:shd w:val="clear" w:color="auto" w:fill="FFFFFF" w:themeFill="background1"/>
          </w:tcPr>
          <w:p w14:paraId="245D3753" w14:textId="77777777" w:rsidR="00981AE5" w:rsidRPr="00F66630" w:rsidRDefault="00981AE5" w:rsidP="00295640">
            <w:pPr>
              <w:spacing w:after="0" w:line="240" w:lineRule="auto"/>
              <w:jc w:val="center"/>
              <w:rPr>
                <w:rFonts w:ascii="Times New Roman" w:eastAsia="Calibri" w:hAnsi="Times New Roman" w:cs="Times New Roman"/>
                <w:b/>
                <w:bCs/>
                <w:color w:val="000000"/>
                <w:sz w:val="24"/>
                <w:szCs w:val="24"/>
              </w:rPr>
            </w:pPr>
            <w:r w:rsidRPr="00F66630">
              <w:rPr>
                <w:rFonts w:ascii="Times New Roman" w:hAnsi="Times New Roman" w:cs="Times New Roman"/>
                <w:bCs/>
                <w:color w:val="000000"/>
                <w:sz w:val="24"/>
                <w:szCs w:val="24"/>
              </w:rPr>
              <w:t>Jan-Dec 21</w:t>
            </w:r>
          </w:p>
        </w:tc>
        <w:tc>
          <w:tcPr>
            <w:tcW w:w="604" w:type="pct"/>
            <w:shd w:val="clear" w:color="auto" w:fill="FFFFFF" w:themeFill="background1"/>
          </w:tcPr>
          <w:p w14:paraId="3C131748" w14:textId="7DA4F0DD" w:rsidR="00981AE5" w:rsidRPr="00F66630" w:rsidRDefault="00E079ED"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Jun-Dec 20</w:t>
            </w:r>
          </w:p>
        </w:tc>
        <w:tc>
          <w:tcPr>
            <w:tcW w:w="567" w:type="pct"/>
            <w:shd w:val="clear" w:color="auto" w:fill="FFFFFF" w:themeFill="background1"/>
          </w:tcPr>
          <w:p w14:paraId="35E5E43B" w14:textId="6BE950D4" w:rsidR="00981AE5" w:rsidRPr="00F66630" w:rsidRDefault="00E079ED"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Jan-</w:t>
            </w:r>
            <w:r w:rsidR="00EF1AFC" w:rsidRPr="00F66630">
              <w:rPr>
                <w:rFonts w:ascii="Times New Roman" w:hAnsi="Times New Roman" w:cs="Times New Roman"/>
                <w:bCs/>
                <w:color w:val="000000"/>
                <w:sz w:val="24"/>
                <w:szCs w:val="24"/>
              </w:rPr>
              <w:t>Dec</w:t>
            </w:r>
            <w:r w:rsidRPr="00F66630">
              <w:rPr>
                <w:rFonts w:ascii="Times New Roman" w:hAnsi="Times New Roman" w:cs="Times New Roman"/>
                <w:bCs/>
                <w:color w:val="000000"/>
                <w:sz w:val="24"/>
                <w:szCs w:val="24"/>
              </w:rPr>
              <w:t xml:space="preserve"> 21</w:t>
            </w:r>
          </w:p>
        </w:tc>
      </w:tr>
      <w:tr w:rsidR="00BA3DEE" w:rsidRPr="00F66630" w14:paraId="0323285A" w14:textId="3D89F507" w:rsidTr="00461733">
        <w:trPr>
          <w:trHeight w:val="266"/>
        </w:trPr>
        <w:tc>
          <w:tcPr>
            <w:tcW w:w="1415" w:type="pct"/>
            <w:shd w:val="clear" w:color="auto" w:fill="FFFFFF" w:themeFill="background1"/>
            <w:tcMar>
              <w:top w:w="0" w:type="dxa"/>
              <w:left w:w="108" w:type="dxa"/>
              <w:bottom w:w="0" w:type="dxa"/>
              <w:right w:w="108" w:type="dxa"/>
            </w:tcMar>
          </w:tcPr>
          <w:p w14:paraId="1799E8C6" w14:textId="23896E89" w:rsidR="00E46690" w:rsidRPr="00F66630" w:rsidRDefault="00E46690" w:rsidP="006B5831">
            <w:pPr>
              <w:spacing w:after="0" w:line="240" w:lineRule="auto"/>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Performance assessment by the IVA and external audit firm</w:t>
            </w:r>
          </w:p>
        </w:tc>
        <w:tc>
          <w:tcPr>
            <w:tcW w:w="638" w:type="pct"/>
            <w:shd w:val="clear" w:color="auto" w:fill="FFFFFF" w:themeFill="background1"/>
            <w:tcMar>
              <w:top w:w="0" w:type="dxa"/>
              <w:left w:w="108" w:type="dxa"/>
              <w:bottom w:w="0" w:type="dxa"/>
              <w:right w:w="108" w:type="dxa"/>
            </w:tcMar>
          </w:tcPr>
          <w:p w14:paraId="0683AF47" w14:textId="0BB4FA3B" w:rsidR="00E46690" w:rsidRPr="00F66630" w:rsidRDefault="00E46690" w:rsidP="00295640">
            <w:pPr>
              <w:spacing w:after="0" w:line="240" w:lineRule="auto"/>
              <w:jc w:val="center"/>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Dec 19-Mar 20</w:t>
            </w:r>
          </w:p>
        </w:tc>
        <w:tc>
          <w:tcPr>
            <w:tcW w:w="604" w:type="pct"/>
            <w:shd w:val="clear" w:color="auto" w:fill="FFFFFF" w:themeFill="background1"/>
            <w:tcMar>
              <w:top w:w="0" w:type="dxa"/>
              <w:left w:w="108" w:type="dxa"/>
              <w:bottom w:w="0" w:type="dxa"/>
              <w:right w:w="108" w:type="dxa"/>
            </w:tcMar>
          </w:tcPr>
          <w:p w14:paraId="04E7E4E1" w14:textId="15FB8FD6" w:rsidR="00E46690" w:rsidRPr="00F66630" w:rsidRDefault="0042374F" w:rsidP="00295640">
            <w:pPr>
              <w:spacing w:after="0" w:line="240" w:lineRule="auto"/>
              <w:jc w:val="center"/>
              <w:rPr>
                <w:rFonts w:ascii="Times New Roman" w:eastAsia="Calibri" w:hAnsi="Times New Roman" w:cs="Times New Roman"/>
                <w:bCs/>
                <w:color w:val="000000"/>
                <w:sz w:val="24"/>
                <w:szCs w:val="24"/>
              </w:rPr>
            </w:pPr>
            <w:r w:rsidRPr="00F66630">
              <w:rPr>
                <w:rFonts w:ascii="Times New Roman" w:hAnsi="Times New Roman" w:cs="Times New Roman"/>
                <w:bCs/>
                <w:color w:val="000000"/>
                <w:sz w:val="24"/>
                <w:szCs w:val="24"/>
              </w:rPr>
              <w:t>May</w:t>
            </w:r>
            <w:r w:rsidR="00E46690" w:rsidRPr="00F66630">
              <w:rPr>
                <w:rFonts w:ascii="Times New Roman" w:hAnsi="Times New Roman" w:cs="Times New Roman"/>
                <w:bCs/>
                <w:color w:val="000000"/>
                <w:sz w:val="24"/>
                <w:szCs w:val="24"/>
              </w:rPr>
              <w:t>-</w:t>
            </w:r>
            <w:r w:rsidR="00882345" w:rsidRPr="00F66630">
              <w:rPr>
                <w:rFonts w:ascii="Times New Roman" w:hAnsi="Times New Roman" w:cs="Times New Roman"/>
                <w:bCs/>
                <w:color w:val="000000"/>
                <w:sz w:val="24"/>
                <w:szCs w:val="24"/>
              </w:rPr>
              <w:t xml:space="preserve">Nov </w:t>
            </w:r>
            <w:r w:rsidR="00E46690" w:rsidRPr="00F66630">
              <w:rPr>
                <w:rFonts w:ascii="Times New Roman" w:hAnsi="Times New Roman" w:cs="Times New Roman"/>
                <w:bCs/>
                <w:color w:val="000000"/>
                <w:sz w:val="24"/>
                <w:szCs w:val="24"/>
              </w:rPr>
              <w:t>20</w:t>
            </w:r>
          </w:p>
        </w:tc>
        <w:tc>
          <w:tcPr>
            <w:tcW w:w="603" w:type="pct"/>
            <w:shd w:val="clear" w:color="auto" w:fill="FFFFFF" w:themeFill="background1"/>
            <w:tcMar>
              <w:top w:w="0" w:type="dxa"/>
              <w:left w:w="108" w:type="dxa"/>
              <w:bottom w:w="0" w:type="dxa"/>
              <w:right w:w="108" w:type="dxa"/>
            </w:tcMar>
          </w:tcPr>
          <w:p w14:paraId="4F44340D" w14:textId="2CC05BD0" w:rsidR="00E46690" w:rsidRPr="00F66630" w:rsidRDefault="009061BE" w:rsidP="00295640">
            <w:pPr>
              <w:spacing w:after="0" w:line="240" w:lineRule="auto"/>
              <w:jc w:val="center"/>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 xml:space="preserve">Feb </w:t>
            </w:r>
            <w:r w:rsidR="00E46690" w:rsidRPr="00F66630">
              <w:rPr>
                <w:rFonts w:ascii="Times New Roman" w:hAnsi="Times New Roman" w:cs="Times New Roman"/>
                <w:bCs/>
                <w:color w:val="000000"/>
                <w:sz w:val="24"/>
                <w:szCs w:val="24"/>
              </w:rPr>
              <w:t>-</w:t>
            </w:r>
            <w:r w:rsidRPr="00295640">
              <w:rPr>
                <w:rFonts w:ascii="Times New Roman" w:hAnsi="Times New Roman" w:cs="Times New Roman"/>
                <w:bCs/>
                <w:color w:val="000000"/>
                <w:sz w:val="24"/>
                <w:szCs w:val="24"/>
                <w:highlight w:val="yellow"/>
              </w:rPr>
              <w:t>May</w:t>
            </w:r>
            <w:r w:rsidR="00E46690" w:rsidRPr="00F66630">
              <w:rPr>
                <w:rFonts w:ascii="Times New Roman" w:hAnsi="Times New Roman" w:cs="Times New Roman"/>
                <w:bCs/>
                <w:color w:val="000000"/>
                <w:sz w:val="24"/>
                <w:szCs w:val="24"/>
              </w:rPr>
              <w:t xml:space="preserve"> 2</w:t>
            </w:r>
            <w:r w:rsidR="006B307D" w:rsidRPr="00F66630">
              <w:rPr>
                <w:rFonts w:ascii="Times New Roman" w:hAnsi="Times New Roman" w:cs="Times New Roman"/>
                <w:bCs/>
                <w:color w:val="000000"/>
                <w:sz w:val="24"/>
                <w:szCs w:val="24"/>
              </w:rPr>
              <w:t>2</w:t>
            </w:r>
          </w:p>
        </w:tc>
        <w:tc>
          <w:tcPr>
            <w:tcW w:w="567" w:type="pct"/>
            <w:shd w:val="clear" w:color="auto" w:fill="FFFFFF" w:themeFill="background1"/>
          </w:tcPr>
          <w:p w14:paraId="068DA5ED" w14:textId="0E92BF25" w:rsidR="00E46690" w:rsidRPr="00F66630" w:rsidRDefault="009061BE" w:rsidP="00295640">
            <w:pPr>
              <w:spacing w:after="0" w:line="240" w:lineRule="auto"/>
              <w:jc w:val="center"/>
              <w:rPr>
                <w:rFonts w:ascii="Times New Roman" w:eastAsia="Calibri" w:hAnsi="Times New Roman" w:cs="Times New Roman"/>
                <w:b/>
                <w:bCs/>
                <w:color w:val="000000"/>
                <w:sz w:val="24"/>
                <w:szCs w:val="24"/>
              </w:rPr>
            </w:pPr>
            <w:r w:rsidRPr="00295640">
              <w:rPr>
                <w:rFonts w:ascii="Times New Roman" w:hAnsi="Times New Roman" w:cs="Times New Roman"/>
                <w:bCs/>
                <w:color w:val="000000"/>
                <w:sz w:val="24"/>
                <w:szCs w:val="24"/>
                <w:highlight w:val="yellow"/>
              </w:rPr>
              <w:t>Jul</w:t>
            </w:r>
            <w:r w:rsidR="00E46690" w:rsidRPr="00295640">
              <w:rPr>
                <w:rFonts w:ascii="Times New Roman" w:hAnsi="Times New Roman" w:cs="Times New Roman"/>
                <w:bCs/>
                <w:color w:val="000000"/>
                <w:sz w:val="24"/>
                <w:szCs w:val="24"/>
                <w:highlight w:val="yellow"/>
              </w:rPr>
              <w:t>-</w:t>
            </w:r>
            <w:r w:rsidRPr="00295640">
              <w:rPr>
                <w:rFonts w:ascii="Times New Roman" w:hAnsi="Times New Roman" w:cs="Times New Roman"/>
                <w:bCs/>
                <w:color w:val="000000"/>
                <w:sz w:val="24"/>
                <w:szCs w:val="24"/>
                <w:highlight w:val="yellow"/>
              </w:rPr>
              <w:t>Oct</w:t>
            </w:r>
            <w:r w:rsidR="00E46690" w:rsidRPr="00F66630">
              <w:rPr>
                <w:rFonts w:ascii="Times New Roman" w:hAnsi="Times New Roman" w:cs="Times New Roman"/>
                <w:bCs/>
                <w:color w:val="000000"/>
                <w:sz w:val="24"/>
                <w:szCs w:val="24"/>
              </w:rPr>
              <w:t xml:space="preserve"> 22</w:t>
            </w:r>
          </w:p>
        </w:tc>
        <w:tc>
          <w:tcPr>
            <w:tcW w:w="604" w:type="pct"/>
            <w:shd w:val="clear" w:color="auto" w:fill="FFFFFF" w:themeFill="background1"/>
          </w:tcPr>
          <w:p w14:paraId="64B1CC84" w14:textId="535F4AF7" w:rsidR="00E46690" w:rsidRPr="00F66630" w:rsidRDefault="00E46690"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Aug-</w:t>
            </w:r>
            <w:r w:rsidR="006B307D" w:rsidRPr="00F66630">
              <w:rPr>
                <w:rFonts w:ascii="Times New Roman" w:hAnsi="Times New Roman" w:cs="Times New Roman"/>
                <w:bCs/>
                <w:color w:val="000000"/>
                <w:sz w:val="24"/>
                <w:szCs w:val="24"/>
              </w:rPr>
              <w:t xml:space="preserve">Dec </w:t>
            </w:r>
            <w:r w:rsidRPr="00F66630">
              <w:rPr>
                <w:rFonts w:ascii="Times New Roman" w:hAnsi="Times New Roman" w:cs="Times New Roman"/>
                <w:bCs/>
                <w:color w:val="000000"/>
                <w:sz w:val="24"/>
                <w:szCs w:val="24"/>
              </w:rPr>
              <w:t>20</w:t>
            </w:r>
          </w:p>
        </w:tc>
        <w:tc>
          <w:tcPr>
            <w:tcW w:w="567" w:type="pct"/>
            <w:shd w:val="clear" w:color="auto" w:fill="FFFFFF" w:themeFill="background1"/>
          </w:tcPr>
          <w:p w14:paraId="7089D2D9" w14:textId="47089B56" w:rsidR="00E46690" w:rsidRPr="00F66630" w:rsidRDefault="004E06B2"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Jul</w:t>
            </w:r>
            <w:r w:rsidR="00EF1AFC" w:rsidRPr="00F66630">
              <w:rPr>
                <w:rFonts w:ascii="Times New Roman" w:hAnsi="Times New Roman" w:cs="Times New Roman"/>
                <w:bCs/>
                <w:color w:val="000000"/>
                <w:sz w:val="24"/>
                <w:szCs w:val="24"/>
              </w:rPr>
              <w:t xml:space="preserve"> 21</w:t>
            </w:r>
            <w:r w:rsidRPr="00F66630">
              <w:rPr>
                <w:rFonts w:ascii="Times New Roman" w:hAnsi="Times New Roman" w:cs="Times New Roman"/>
                <w:bCs/>
                <w:color w:val="000000"/>
                <w:sz w:val="24"/>
                <w:szCs w:val="24"/>
              </w:rPr>
              <w:t>-</w:t>
            </w:r>
            <w:r w:rsidR="006B307D" w:rsidRPr="00F66630">
              <w:rPr>
                <w:rFonts w:ascii="Times New Roman" w:hAnsi="Times New Roman" w:cs="Times New Roman"/>
                <w:bCs/>
                <w:color w:val="000000"/>
                <w:sz w:val="24"/>
                <w:szCs w:val="24"/>
              </w:rPr>
              <w:t>Sep</w:t>
            </w:r>
            <w:r w:rsidR="00EF1AFC" w:rsidRPr="00F66630">
              <w:rPr>
                <w:rFonts w:ascii="Times New Roman" w:hAnsi="Times New Roman" w:cs="Times New Roman"/>
                <w:bCs/>
                <w:color w:val="000000"/>
                <w:sz w:val="24"/>
                <w:szCs w:val="24"/>
              </w:rPr>
              <w:t xml:space="preserve"> 22</w:t>
            </w:r>
          </w:p>
        </w:tc>
      </w:tr>
      <w:tr w:rsidR="00BA3DEE" w:rsidRPr="00F66630" w14:paraId="01408A12" w14:textId="0BBB7909" w:rsidTr="00461733">
        <w:trPr>
          <w:trHeight w:val="266"/>
        </w:trPr>
        <w:tc>
          <w:tcPr>
            <w:tcW w:w="141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093BE21" w14:textId="712E6E9D" w:rsidR="00E46690" w:rsidRPr="00F66630" w:rsidRDefault="00E46690" w:rsidP="006B5831">
            <w:pPr>
              <w:spacing w:after="0" w:line="240" w:lineRule="auto"/>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 xml:space="preserve">WB decision to disburse and PCU disbursement of performance-based </w:t>
            </w:r>
            <w:r w:rsidR="00525203" w:rsidRPr="00F66630">
              <w:rPr>
                <w:rFonts w:ascii="Times New Roman" w:hAnsi="Times New Roman" w:cs="Times New Roman"/>
                <w:bCs/>
                <w:color w:val="000000"/>
                <w:sz w:val="24"/>
                <w:szCs w:val="24"/>
              </w:rPr>
              <w:t xml:space="preserve">financing </w:t>
            </w:r>
            <w:r w:rsidRPr="00F66630">
              <w:rPr>
                <w:rFonts w:ascii="Times New Roman" w:hAnsi="Times New Roman" w:cs="Times New Roman"/>
                <w:bCs/>
                <w:color w:val="000000"/>
                <w:sz w:val="24"/>
                <w:szCs w:val="24"/>
              </w:rPr>
              <w:t>to states</w:t>
            </w:r>
          </w:p>
        </w:tc>
        <w:tc>
          <w:tcPr>
            <w:tcW w:w="63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F1B9ED" w14:textId="2C0E550C" w:rsidR="00E46690" w:rsidRPr="00F66630" w:rsidRDefault="00E46690"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Apr-20</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768CF2" w14:textId="4D5E394D" w:rsidR="00E46690" w:rsidRPr="00F66630" w:rsidRDefault="00882345"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 xml:space="preserve">Dec </w:t>
            </w:r>
            <w:r w:rsidR="00E46690" w:rsidRPr="00F66630">
              <w:rPr>
                <w:rFonts w:ascii="Times New Roman" w:hAnsi="Times New Roman" w:cs="Times New Roman"/>
                <w:bCs/>
                <w:color w:val="000000"/>
                <w:sz w:val="24"/>
                <w:szCs w:val="24"/>
              </w:rPr>
              <w:t>20</w:t>
            </w:r>
          </w:p>
        </w:tc>
        <w:tc>
          <w:tcPr>
            <w:tcW w:w="603"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109DD36" w14:textId="62F71D17" w:rsidR="00E46690" w:rsidRPr="00F66630" w:rsidRDefault="009061BE" w:rsidP="00295640">
            <w:pPr>
              <w:spacing w:after="0" w:line="240" w:lineRule="auto"/>
              <w:jc w:val="center"/>
              <w:rPr>
                <w:rFonts w:ascii="Times New Roman" w:hAnsi="Times New Roman" w:cs="Times New Roman"/>
                <w:bCs/>
                <w:color w:val="000000"/>
                <w:sz w:val="24"/>
                <w:szCs w:val="24"/>
              </w:rPr>
            </w:pPr>
            <w:r w:rsidRPr="00232545">
              <w:rPr>
                <w:rFonts w:ascii="Times New Roman" w:hAnsi="Times New Roman" w:cs="Times New Roman"/>
                <w:bCs/>
                <w:color w:val="000000"/>
                <w:sz w:val="24"/>
                <w:szCs w:val="24"/>
                <w:highlight w:val="yellow"/>
              </w:rPr>
              <w:t>Jun</w:t>
            </w:r>
            <w:r w:rsidRPr="00F66630">
              <w:rPr>
                <w:rFonts w:ascii="Times New Roman" w:hAnsi="Times New Roman" w:cs="Times New Roman"/>
                <w:bCs/>
                <w:color w:val="000000"/>
                <w:sz w:val="24"/>
                <w:szCs w:val="24"/>
              </w:rPr>
              <w:t xml:space="preserve"> </w:t>
            </w:r>
            <w:r w:rsidR="006B307D" w:rsidRPr="00F66630">
              <w:rPr>
                <w:rFonts w:ascii="Times New Roman" w:hAnsi="Times New Roman" w:cs="Times New Roman"/>
                <w:bCs/>
                <w:color w:val="000000"/>
                <w:sz w:val="24"/>
                <w:szCs w:val="24"/>
              </w:rPr>
              <w:t>22</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tcPr>
          <w:p w14:paraId="7278040E" w14:textId="031541FC" w:rsidR="00E46690" w:rsidRPr="00F66630" w:rsidRDefault="00FF0F42"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Oct</w:t>
            </w:r>
            <w:r w:rsidR="00E46690" w:rsidRPr="00F66630" w:rsidDel="00A52E51">
              <w:rPr>
                <w:rFonts w:ascii="Times New Roman" w:hAnsi="Times New Roman" w:cs="Times New Roman"/>
                <w:bCs/>
                <w:color w:val="000000"/>
                <w:sz w:val="24"/>
                <w:szCs w:val="24"/>
              </w:rPr>
              <w:t xml:space="preserve"> </w:t>
            </w:r>
            <w:r w:rsidR="00E46690" w:rsidRPr="00F66630">
              <w:rPr>
                <w:rFonts w:ascii="Times New Roman" w:hAnsi="Times New Roman" w:cs="Times New Roman"/>
                <w:bCs/>
                <w:color w:val="000000"/>
                <w:sz w:val="24"/>
                <w:szCs w:val="24"/>
              </w:rPr>
              <w:t>22</w:t>
            </w:r>
          </w:p>
        </w:tc>
        <w:tc>
          <w:tcPr>
            <w:tcW w:w="604" w:type="pct"/>
            <w:tcBorders>
              <w:top w:val="single" w:sz="4" w:space="0" w:color="auto"/>
              <w:left w:val="single" w:sz="4" w:space="0" w:color="auto"/>
              <w:bottom w:val="single" w:sz="4" w:space="0" w:color="auto"/>
              <w:right w:val="single" w:sz="4" w:space="0" w:color="auto"/>
            </w:tcBorders>
            <w:shd w:val="clear" w:color="auto" w:fill="FFFFFF" w:themeFill="background1"/>
          </w:tcPr>
          <w:p w14:paraId="551C4E3E" w14:textId="069CE3D0" w:rsidR="00E46690" w:rsidRPr="00F66630" w:rsidRDefault="000710A6" w:rsidP="00295640">
            <w:pPr>
              <w:spacing w:after="0" w:line="240" w:lineRule="auto"/>
              <w:jc w:val="center"/>
              <w:rPr>
                <w:rFonts w:ascii="Times New Roman" w:hAnsi="Times New Roman" w:cs="Times New Roman"/>
                <w:bCs/>
                <w:color w:val="000000"/>
                <w:sz w:val="24"/>
                <w:szCs w:val="24"/>
              </w:rPr>
            </w:pPr>
            <w:r w:rsidRPr="00232545">
              <w:rPr>
                <w:rFonts w:ascii="Times New Roman" w:hAnsi="Times New Roman" w:cs="Times New Roman"/>
                <w:bCs/>
                <w:color w:val="000000"/>
                <w:sz w:val="24"/>
                <w:szCs w:val="24"/>
                <w:highlight w:val="yellow"/>
              </w:rPr>
              <w:t xml:space="preserve">Feb </w:t>
            </w:r>
            <w:r w:rsidR="00BE1F35" w:rsidRPr="00232545">
              <w:rPr>
                <w:rFonts w:ascii="Times New Roman" w:hAnsi="Times New Roman" w:cs="Times New Roman"/>
                <w:bCs/>
                <w:color w:val="000000"/>
                <w:sz w:val="24"/>
                <w:szCs w:val="24"/>
                <w:highlight w:val="yellow"/>
              </w:rPr>
              <w:t>2</w:t>
            </w:r>
            <w:r w:rsidRPr="00232545">
              <w:rPr>
                <w:rFonts w:ascii="Times New Roman" w:hAnsi="Times New Roman" w:cs="Times New Roman"/>
                <w:bCs/>
                <w:color w:val="000000"/>
                <w:sz w:val="24"/>
                <w:szCs w:val="24"/>
                <w:highlight w:val="yellow"/>
              </w:rPr>
              <w:t>2</w:t>
            </w:r>
            <w:r w:rsidR="006B307D" w:rsidRPr="00232545">
              <w:rPr>
                <w:rFonts w:ascii="Times New Roman" w:hAnsi="Times New Roman" w:cs="Times New Roman"/>
                <w:bCs/>
                <w:color w:val="000000"/>
                <w:sz w:val="24"/>
                <w:szCs w:val="24"/>
                <w:highlight w:val="yellow"/>
              </w:rPr>
              <w:t>-Jan 21</w:t>
            </w:r>
          </w:p>
        </w:tc>
        <w:tc>
          <w:tcPr>
            <w:tcW w:w="567" w:type="pct"/>
            <w:tcBorders>
              <w:top w:val="single" w:sz="4" w:space="0" w:color="auto"/>
              <w:left w:val="single" w:sz="4" w:space="0" w:color="auto"/>
              <w:bottom w:val="single" w:sz="4" w:space="0" w:color="auto"/>
              <w:right w:val="single" w:sz="4" w:space="0" w:color="auto"/>
            </w:tcBorders>
            <w:shd w:val="clear" w:color="auto" w:fill="FFFFFF" w:themeFill="background1"/>
          </w:tcPr>
          <w:p w14:paraId="321F0079" w14:textId="63B1E2D9" w:rsidR="00E46690" w:rsidRPr="00F66630" w:rsidRDefault="006B307D" w:rsidP="00295640">
            <w:pPr>
              <w:spacing w:after="0" w:line="240" w:lineRule="auto"/>
              <w:jc w:val="center"/>
              <w:rPr>
                <w:rFonts w:ascii="Times New Roman" w:hAnsi="Times New Roman" w:cs="Times New Roman"/>
                <w:bCs/>
                <w:color w:val="000000"/>
                <w:sz w:val="24"/>
                <w:szCs w:val="24"/>
              </w:rPr>
            </w:pPr>
            <w:r w:rsidRPr="00F66630">
              <w:rPr>
                <w:rFonts w:ascii="Times New Roman" w:hAnsi="Times New Roman" w:cs="Times New Roman"/>
                <w:bCs/>
                <w:color w:val="000000"/>
                <w:sz w:val="24"/>
                <w:szCs w:val="24"/>
              </w:rPr>
              <w:t xml:space="preserve">Dec </w:t>
            </w:r>
            <w:r w:rsidR="00461733" w:rsidRPr="00F66630">
              <w:rPr>
                <w:rFonts w:ascii="Times New Roman" w:hAnsi="Times New Roman" w:cs="Times New Roman"/>
                <w:bCs/>
                <w:color w:val="000000"/>
                <w:sz w:val="24"/>
                <w:szCs w:val="24"/>
              </w:rPr>
              <w:t>21</w:t>
            </w:r>
            <w:r w:rsidR="00995552" w:rsidRPr="00F66630">
              <w:rPr>
                <w:rFonts w:ascii="Times New Roman" w:hAnsi="Times New Roman" w:cs="Times New Roman"/>
                <w:bCs/>
                <w:color w:val="000000"/>
                <w:sz w:val="24"/>
                <w:szCs w:val="24"/>
              </w:rPr>
              <w:t>-</w:t>
            </w:r>
            <w:r w:rsidRPr="00F66630">
              <w:rPr>
                <w:rFonts w:ascii="Times New Roman" w:hAnsi="Times New Roman" w:cs="Times New Roman"/>
                <w:bCs/>
                <w:color w:val="000000"/>
                <w:sz w:val="24"/>
                <w:szCs w:val="24"/>
              </w:rPr>
              <w:t>Oct 22</w:t>
            </w:r>
          </w:p>
        </w:tc>
      </w:tr>
    </w:tbl>
    <w:p w14:paraId="19F2C7CE" w14:textId="77777777" w:rsidR="0066122F" w:rsidRPr="00F66630" w:rsidRDefault="0066122F" w:rsidP="00802B5F">
      <w:pPr>
        <w:pStyle w:val="Minh"/>
        <w:numPr>
          <w:ilvl w:val="0"/>
          <w:numId w:val="0"/>
        </w:numPr>
        <w:spacing w:before="0"/>
        <w:ind w:left="360" w:hanging="360"/>
        <w:rPr>
          <w:b/>
        </w:rPr>
      </w:pPr>
    </w:p>
    <w:p w14:paraId="3237CCD6" w14:textId="29DA3230" w:rsidR="00CF453E" w:rsidRPr="00F66630" w:rsidRDefault="00CF453E">
      <w:pPr>
        <w:rPr>
          <w:rFonts w:ascii="Times New Roman" w:eastAsia="Times New Roman" w:hAnsi="Times New Roman" w:cs="Times New Roman"/>
          <w:b/>
          <w:color w:val="000000"/>
          <w:sz w:val="24"/>
          <w:szCs w:val="24"/>
          <w:lang w:eastAsia="en-GB"/>
        </w:rPr>
      </w:pPr>
    </w:p>
    <w:p w14:paraId="07BCAD96" w14:textId="2651FBDB" w:rsidR="00802B5F" w:rsidRPr="00F66630" w:rsidRDefault="00163219" w:rsidP="00802B5F">
      <w:pPr>
        <w:pStyle w:val="Minh"/>
        <w:numPr>
          <w:ilvl w:val="0"/>
          <w:numId w:val="0"/>
        </w:numPr>
        <w:spacing w:before="0"/>
        <w:ind w:left="360" w:hanging="360"/>
        <w:rPr>
          <w:b/>
        </w:rPr>
      </w:pPr>
      <w:r w:rsidRPr="00F66630">
        <w:rPr>
          <w:b/>
        </w:rPr>
        <w:t xml:space="preserve">General </w:t>
      </w:r>
      <w:r w:rsidR="00802B5F" w:rsidRPr="00F66630">
        <w:rPr>
          <w:b/>
        </w:rPr>
        <w:t>Principles</w:t>
      </w:r>
      <w:r w:rsidRPr="00F66630">
        <w:rPr>
          <w:b/>
        </w:rPr>
        <w:t xml:space="preserve"> used by the IVA</w:t>
      </w:r>
    </w:p>
    <w:p w14:paraId="4761E7B8" w14:textId="12DBD063" w:rsidR="006D78C2" w:rsidRPr="00F66630" w:rsidRDefault="006D78C2" w:rsidP="00DB2B61">
      <w:pPr>
        <w:pStyle w:val="Minh"/>
        <w:numPr>
          <w:ilvl w:val="0"/>
          <w:numId w:val="40"/>
        </w:numPr>
        <w:spacing w:before="0"/>
      </w:pPr>
      <w:r w:rsidRPr="00F66630">
        <w:rPr>
          <w:b/>
        </w:rPr>
        <w:lastRenderedPageBreak/>
        <w:t xml:space="preserve">The states’ performance against </w:t>
      </w:r>
      <w:r w:rsidR="002C72D3" w:rsidRPr="00F66630">
        <w:rPr>
          <w:b/>
        </w:rPr>
        <w:t xml:space="preserve">the EC and </w:t>
      </w:r>
      <w:r w:rsidRPr="00F66630">
        <w:rPr>
          <w:b/>
        </w:rPr>
        <w:t xml:space="preserve">each DLR will be assessed strictly </w:t>
      </w:r>
      <w:r w:rsidR="005F2171" w:rsidRPr="00F66630">
        <w:rPr>
          <w:b/>
        </w:rPr>
        <w:t>on an Achieved or Not Achieved</w:t>
      </w:r>
      <w:r w:rsidRPr="00F66630">
        <w:rPr>
          <w:b/>
        </w:rPr>
        <w:t xml:space="preserve"> basis by the IVA using the verification protocol</w:t>
      </w:r>
      <w:r w:rsidRPr="00F66630">
        <w:t xml:space="preserve"> described in section</w:t>
      </w:r>
      <w:r w:rsidR="00D215AF" w:rsidRPr="00F66630">
        <w:t>s D and E</w:t>
      </w:r>
      <w:r w:rsidRPr="00F66630">
        <w:t xml:space="preserve">. </w:t>
      </w:r>
    </w:p>
    <w:p w14:paraId="1E729842" w14:textId="51169BAC" w:rsidR="00C05362" w:rsidRPr="00F66630" w:rsidRDefault="00C05362" w:rsidP="00DB2B61">
      <w:pPr>
        <w:pStyle w:val="Minh"/>
        <w:numPr>
          <w:ilvl w:val="1"/>
          <w:numId w:val="40"/>
        </w:numPr>
        <w:spacing w:before="0"/>
      </w:pPr>
      <w:r w:rsidRPr="00F66630">
        <w:t>The verification protocol f</w:t>
      </w:r>
      <w:r w:rsidR="002C72D3" w:rsidRPr="00F66630">
        <w:t xml:space="preserve">or the EC and each DLR comprise </w:t>
      </w:r>
      <w:proofErr w:type="gramStart"/>
      <w:r w:rsidR="002C72D3" w:rsidRPr="00F66630">
        <w:t>of:</w:t>
      </w:r>
      <w:proofErr w:type="gramEnd"/>
      <w:r w:rsidR="002C72D3" w:rsidRPr="00F66630">
        <w:t xml:space="preserve"> 1) </w:t>
      </w:r>
      <w:r w:rsidRPr="00F66630">
        <w:t>the definition</w:t>
      </w:r>
      <w:r w:rsidR="00A14A2C" w:rsidRPr="00F66630">
        <w:t xml:space="preserve"> and </w:t>
      </w:r>
      <w:r w:rsidRPr="00F66630">
        <w:t>description of DLR achievement</w:t>
      </w:r>
      <w:r w:rsidR="001A0310" w:rsidRPr="00F66630">
        <w:t>, including definition of key terms</w:t>
      </w:r>
      <w:r w:rsidR="002C72D3" w:rsidRPr="00F66630">
        <w:t>; 2)</w:t>
      </w:r>
      <w:r w:rsidRPr="00F66630">
        <w:t xml:space="preserve"> </w:t>
      </w:r>
      <w:r w:rsidR="00495E40" w:rsidRPr="00F66630">
        <w:t xml:space="preserve">the </w:t>
      </w:r>
      <w:r w:rsidR="00663882" w:rsidRPr="00F66630">
        <w:t xml:space="preserve">state data source to be used by the </w:t>
      </w:r>
      <w:r w:rsidR="00495E40" w:rsidRPr="00F66630">
        <w:t xml:space="preserve">IVA </w:t>
      </w:r>
      <w:r w:rsidR="002C72D3" w:rsidRPr="00F66630">
        <w:t xml:space="preserve">for </w:t>
      </w:r>
      <w:r w:rsidR="00495E40" w:rsidRPr="00F66630">
        <w:t xml:space="preserve">the assessment </w:t>
      </w:r>
      <w:r w:rsidR="00450529" w:rsidRPr="00F66630">
        <w:t xml:space="preserve">of </w:t>
      </w:r>
      <w:r w:rsidR="002C72D3" w:rsidRPr="00F66630">
        <w:t xml:space="preserve">the DLR achievement; 3) the procedure </w:t>
      </w:r>
      <w:r w:rsidR="000A2877" w:rsidRPr="00F66630">
        <w:t xml:space="preserve">the </w:t>
      </w:r>
      <w:r w:rsidR="002C72D3" w:rsidRPr="00F66630">
        <w:t>IVA will use to assess whether the state has achieved or not achieved the EC</w:t>
      </w:r>
      <w:r w:rsidR="000A2877" w:rsidRPr="00F66630">
        <w:t xml:space="preserve"> </w:t>
      </w:r>
      <w:r w:rsidR="002C72D3" w:rsidRPr="00F66630">
        <w:t>or DLR.</w:t>
      </w:r>
    </w:p>
    <w:p w14:paraId="0507CB85" w14:textId="0AC4029C" w:rsidR="00495E40" w:rsidRPr="00F66630" w:rsidRDefault="002C72D3" w:rsidP="00DB2B61">
      <w:pPr>
        <w:pStyle w:val="Minh"/>
        <w:numPr>
          <w:ilvl w:val="1"/>
          <w:numId w:val="40"/>
        </w:numPr>
        <w:spacing w:before="0"/>
      </w:pPr>
      <w:r w:rsidRPr="00F66630">
        <w:rPr>
          <w:b/>
        </w:rPr>
        <w:t>The definition</w:t>
      </w:r>
      <w:r w:rsidR="00A14A2C" w:rsidRPr="00F66630">
        <w:rPr>
          <w:b/>
        </w:rPr>
        <w:t xml:space="preserve"> and </w:t>
      </w:r>
      <w:r w:rsidRPr="00F66630">
        <w:rPr>
          <w:b/>
        </w:rPr>
        <w:t>description of DLR achievement</w:t>
      </w:r>
      <w:r w:rsidR="00D90AB8" w:rsidRPr="00F66630">
        <w:t xml:space="preserve"> in the verification protocol</w:t>
      </w:r>
      <w:r w:rsidRPr="00F66630">
        <w:t xml:space="preserve"> is not meant to be comprehensive on what a law contains or how a system should function. Rather, it describes the basis of the DLR assessment by the IVA.</w:t>
      </w:r>
    </w:p>
    <w:p w14:paraId="3D392C98" w14:textId="59261F02" w:rsidR="00495E40" w:rsidRPr="00F66630" w:rsidRDefault="00495E40" w:rsidP="00DB2B61">
      <w:pPr>
        <w:pStyle w:val="Minh"/>
        <w:numPr>
          <w:ilvl w:val="1"/>
          <w:numId w:val="40"/>
        </w:numPr>
        <w:spacing w:before="0"/>
      </w:pPr>
      <w:r w:rsidRPr="00F66630">
        <w:rPr>
          <w:b/>
        </w:rPr>
        <w:t>The data</w:t>
      </w:r>
      <w:r w:rsidR="00663882" w:rsidRPr="00F66630">
        <w:rPr>
          <w:b/>
        </w:rPr>
        <w:t xml:space="preserve"> source and data</w:t>
      </w:r>
      <w:r w:rsidRPr="00F66630">
        <w:rPr>
          <w:b/>
        </w:rPr>
        <w:t xml:space="preserve"> requirements of the IVA</w:t>
      </w:r>
      <w:r w:rsidRPr="00F66630">
        <w:t xml:space="preserve"> are not recorded exhaustively within this protocol. The IVA reserves the right to request for any additional information or data from states that may be required to form an opinion.</w:t>
      </w:r>
    </w:p>
    <w:p w14:paraId="4B02385D" w14:textId="6A248B38" w:rsidR="00495E40" w:rsidRPr="00F66630" w:rsidRDefault="00495E40" w:rsidP="00DB2B61">
      <w:pPr>
        <w:pStyle w:val="Minh"/>
        <w:numPr>
          <w:ilvl w:val="1"/>
          <w:numId w:val="40"/>
        </w:numPr>
        <w:spacing w:before="0"/>
        <w:rPr>
          <w:b/>
        </w:rPr>
      </w:pPr>
      <w:r w:rsidRPr="00F66630">
        <w:rPr>
          <w:b/>
        </w:rPr>
        <w:t>The procedures IVA will use to assess states’ achievement of the DLR</w:t>
      </w:r>
      <w:r w:rsidRPr="00F66630">
        <w:t xml:space="preserve">s are not recorded exhaustively within this protocol. The IVA reserves the right to undertake additional procedures </w:t>
      </w:r>
      <w:r w:rsidR="005F7308" w:rsidRPr="00F66630">
        <w:t xml:space="preserve">or amend the procedures </w:t>
      </w:r>
      <w:proofErr w:type="gramStart"/>
      <w:r w:rsidRPr="00F66630">
        <w:t>in order to</w:t>
      </w:r>
      <w:proofErr w:type="gramEnd"/>
      <w:r w:rsidRPr="00F66630">
        <w:t xml:space="preserve"> form an opinion.</w:t>
      </w:r>
    </w:p>
    <w:p w14:paraId="7981E7D9" w14:textId="76726AA6" w:rsidR="00F53FA5" w:rsidRPr="00F66630" w:rsidRDefault="006D78C2" w:rsidP="00DB2B61">
      <w:pPr>
        <w:pStyle w:val="Minh"/>
        <w:numPr>
          <w:ilvl w:val="0"/>
          <w:numId w:val="40"/>
        </w:numPr>
        <w:spacing w:before="0"/>
      </w:pPr>
      <w:r w:rsidRPr="00F66630">
        <w:rPr>
          <w:b/>
        </w:rPr>
        <w:t xml:space="preserve">The </w:t>
      </w:r>
      <w:r w:rsidR="00C26073" w:rsidRPr="00F66630">
        <w:rPr>
          <w:b/>
        </w:rPr>
        <w:t xml:space="preserve">performance assessments </w:t>
      </w:r>
      <w:r w:rsidRPr="00F66630">
        <w:rPr>
          <w:b/>
        </w:rPr>
        <w:t>are</w:t>
      </w:r>
      <w:r w:rsidR="002C72D3" w:rsidRPr="00F66630">
        <w:rPr>
          <w:b/>
        </w:rPr>
        <w:t xml:space="preserve"> conducted</w:t>
      </w:r>
      <w:r w:rsidRPr="00F66630">
        <w:rPr>
          <w:b/>
        </w:rPr>
        <w:t xml:space="preserve"> independent</w:t>
      </w:r>
      <w:r w:rsidR="002C72D3" w:rsidRPr="00F66630">
        <w:rPr>
          <w:b/>
        </w:rPr>
        <w:t>ly</w:t>
      </w:r>
      <w:r w:rsidRPr="00F66630">
        <w:rPr>
          <w:b/>
        </w:rPr>
        <w:t xml:space="preserve"> of each other</w:t>
      </w:r>
      <w:r w:rsidRPr="00F66630">
        <w:t xml:space="preserve"> </w:t>
      </w:r>
      <w:proofErr w:type="gramStart"/>
      <w:r w:rsidRPr="00F66630">
        <w:t>i.e.</w:t>
      </w:r>
      <w:proofErr w:type="gramEnd"/>
      <w:r w:rsidRPr="00F66630">
        <w:t xml:space="preserve"> the assessment of states’ performance against the DLRs </w:t>
      </w:r>
      <w:r w:rsidR="002B0FA8" w:rsidRPr="00F66630">
        <w:t xml:space="preserve">is not </w:t>
      </w:r>
      <w:r w:rsidRPr="00F66630">
        <w:t>linked to</w:t>
      </w:r>
      <w:r w:rsidR="002B0FA8" w:rsidRPr="00F66630">
        <w:t xml:space="preserve"> or influenced by</w:t>
      </w:r>
      <w:r w:rsidR="002E07C9" w:rsidRPr="00F66630">
        <w:t xml:space="preserve"> the</w:t>
      </w:r>
      <w:r w:rsidRPr="00F66630">
        <w:t xml:space="preserve"> </w:t>
      </w:r>
      <w:r w:rsidR="00D237F5" w:rsidRPr="00F66630">
        <w:t xml:space="preserve">performance </w:t>
      </w:r>
      <w:r w:rsidR="002B0FA8" w:rsidRPr="00F66630">
        <w:t xml:space="preserve">under </w:t>
      </w:r>
      <w:r w:rsidRPr="00F66630">
        <w:t xml:space="preserve">the previous </w:t>
      </w:r>
      <w:r w:rsidR="005C5ACC" w:rsidRPr="00F66630">
        <w:t>DLRs</w:t>
      </w:r>
      <w:r w:rsidRPr="00F66630">
        <w:t xml:space="preserve"> but will be assessed </w:t>
      </w:r>
      <w:r w:rsidR="0062433B" w:rsidRPr="00F66630">
        <w:t>anew. For example</w:t>
      </w:r>
      <w:r w:rsidR="00A6781C" w:rsidRPr="00F66630">
        <w:t xml:space="preserve">, </w:t>
      </w:r>
      <w:r w:rsidR="003F56F9" w:rsidRPr="00F66630">
        <w:t>the original DLIs which have four DLRs</w:t>
      </w:r>
      <w:r w:rsidR="0062433B" w:rsidRPr="00F66630">
        <w:t>, it is possible for a state</w:t>
      </w:r>
      <w:r w:rsidR="009B6BAC" w:rsidRPr="00F66630">
        <w:t xml:space="preserve"> to</w:t>
      </w:r>
      <w:r w:rsidR="0062433B" w:rsidRPr="00F66630">
        <w:t xml:space="preserve"> </w:t>
      </w:r>
      <w:r w:rsidR="00C81E7A" w:rsidRPr="00F66630">
        <w:t xml:space="preserve">not achieve </w:t>
      </w:r>
      <w:r w:rsidR="0062433B" w:rsidRPr="00F66630">
        <w:t xml:space="preserve">in year 1, </w:t>
      </w:r>
      <w:r w:rsidR="00C81E7A" w:rsidRPr="00F66630">
        <w:t>achiev</w:t>
      </w:r>
      <w:r w:rsidR="007E58C0" w:rsidRPr="00F66630">
        <w:t>e</w:t>
      </w:r>
      <w:r w:rsidR="00C81E7A" w:rsidRPr="00F66630">
        <w:t xml:space="preserve"> </w:t>
      </w:r>
      <w:r w:rsidR="0062433B" w:rsidRPr="00F66630">
        <w:t xml:space="preserve">in year 2 and 3, and </w:t>
      </w:r>
      <w:r w:rsidR="00C81E7A" w:rsidRPr="00F66630">
        <w:t xml:space="preserve">not achieve </w:t>
      </w:r>
      <w:r w:rsidR="0062433B" w:rsidRPr="00F66630">
        <w:t xml:space="preserve">in year 4 on the same </w:t>
      </w:r>
      <w:r w:rsidR="007E58C0" w:rsidRPr="00F66630">
        <w:t>DLI</w:t>
      </w:r>
      <w:r w:rsidR="0062433B" w:rsidRPr="00F66630">
        <w:t>.</w:t>
      </w:r>
    </w:p>
    <w:p w14:paraId="4275D47F" w14:textId="44EEA0F5" w:rsidR="002C3B16" w:rsidRPr="00F66630" w:rsidRDefault="00AE3E49" w:rsidP="00DB2B61">
      <w:pPr>
        <w:pStyle w:val="Minh"/>
        <w:numPr>
          <w:ilvl w:val="0"/>
          <w:numId w:val="40"/>
        </w:numPr>
        <w:spacing w:before="0"/>
      </w:pPr>
      <w:r w:rsidRPr="00F66630">
        <w:rPr>
          <w:b/>
        </w:rPr>
        <w:t xml:space="preserve">Templates: </w:t>
      </w:r>
      <w:r w:rsidR="00146045" w:rsidRPr="00F66630">
        <w:t>The Federal Ministry of Finance (Home Finance Department</w:t>
      </w:r>
      <w:r w:rsidR="00265D92" w:rsidRPr="00F66630">
        <w:t>)</w:t>
      </w:r>
      <w:r w:rsidR="00427586" w:rsidRPr="00F66630">
        <w:t xml:space="preserve">, Open Government Partnership (OGP) </w:t>
      </w:r>
      <w:r w:rsidR="00265D92" w:rsidRPr="00F66630">
        <w:t>and Federal Debt Management Office</w:t>
      </w:r>
      <w:r w:rsidR="00146045" w:rsidRPr="00F66630">
        <w:t xml:space="preserve"> </w:t>
      </w:r>
      <w:r w:rsidR="00402D2C" w:rsidRPr="00F66630">
        <w:t xml:space="preserve">intend to </w:t>
      </w:r>
      <w:r w:rsidR="00265D92" w:rsidRPr="00F66630">
        <w:t xml:space="preserve">disseminate </w:t>
      </w:r>
      <w:r w:rsidR="00146045" w:rsidRPr="00F66630">
        <w:t xml:space="preserve">standard templates </w:t>
      </w:r>
      <w:r w:rsidR="00265D92" w:rsidRPr="00F66630">
        <w:t>for states to use for several of the DLRs</w:t>
      </w:r>
      <w:r w:rsidR="002D1936" w:rsidRPr="00F66630">
        <w:t>, including the following:</w:t>
      </w:r>
      <w:r w:rsidR="00F53FA5" w:rsidRPr="00F66630">
        <w:t xml:space="preserve"> (a) </w:t>
      </w:r>
      <w:r w:rsidR="00DC1205" w:rsidRPr="00F66630">
        <w:t>The Citizens’ budget</w:t>
      </w:r>
      <w:r w:rsidR="00F53FA5" w:rsidRPr="00F66630">
        <w:t xml:space="preserve">; (b) </w:t>
      </w:r>
      <w:r w:rsidR="00DC1205" w:rsidRPr="00F66630">
        <w:t>Citizen’s Accountability reports</w:t>
      </w:r>
      <w:r w:rsidR="00F53FA5" w:rsidRPr="00F66630">
        <w:t xml:space="preserve">; (c) </w:t>
      </w:r>
      <w:r w:rsidR="009A38B5" w:rsidRPr="00F66630">
        <w:t>Quarterly State Domestic Debt Reports</w:t>
      </w:r>
      <w:r w:rsidR="00F53FA5" w:rsidRPr="00F66630">
        <w:t xml:space="preserve">; (d) </w:t>
      </w:r>
      <w:r w:rsidR="009A38B5" w:rsidRPr="00F66630">
        <w:t>Annual Debt Sustainability Analysis</w:t>
      </w:r>
      <w:r w:rsidR="00F53FA5" w:rsidRPr="00F66630">
        <w:t xml:space="preserve">; and (e) </w:t>
      </w:r>
      <w:r w:rsidR="00EE3191" w:rsidRPr="00F66630">
        <w:t>Medium-term Debt Management Strategy</w:t>
      </w:r>
    </w:p>
    <w:p w14:paraId="2BEC2469" w14:textId="4C27F7B1" w:rsidR="00AE3E49" w:rsidRPr="00F66630" w:rsidRDefault="00146045" w:rsidP="00B238E8">
      <w:pPr>
        <w:pStyle w:val="Minh"/>
        <w:numPr>
          <w:ilvl w:val="0"/>
          <w:numId w:val="0"/>
        </w:numPr>
        <w:ind w:left="360"/>
      </w:pPr>
      <w:r w:rsidRPr="00F66630">
        <w:t>The States are encouraged to adopt and apply these templates as they will enable a clearer assessment of the level of achievement of each DLR</w:t>
      </w:r>
      <w:r w:rsidR="00AE3E49" w:rsidRPr="00F66630">
        <w:t>.</w:t>
      </w:r>
      <w:r w:rsidR="00B238E8" w:rsidRPr="00F66630">
        <w:t xml:space="preserve"> </w:t>
      </w:r>
      <w:r w:rsidR="00AE3E49" w:rsidRPr="00F66630">
        <w:t xml:space="preserve">Where no template is provided, states </w:t>
      </w:r>
      <w:r w:rsidR="00495E40" w:rsidRPr="00F66630">
        <w:t>should be guided by the definition/description of the DLR in the protocol.</w:t>
      </w:r>
    </w:p>
    <w:p w14:paraId="7019E642" w14:textId="1BD9FE4F" w:rsidR="00495E40" w:rsidRPr="00F66630" w:rsidRDefault="00495E40" w:rsidP="00DB2B61">
      <w:pPr>
        <w:pStyle w:val="Minh"/>
        <w:numPr>
          <w:ilvl w:val="0"/>
          <w:numId w:val="40"/>
        </w:numPr>
        <w:spacing w:before="0" w:after="0"/>
        <w:rPr>
          <w:b/>
        </w:rPr>
      </w:pPr>
      <w:r w:rsidRPr="00F66630">
        <w:rPr>
          <w:b/>
        </w:rPr>
        <w:t>Online Publication</w:t>
      </w:r>
      <w:r w:rsidR="00EB772D" w:rsidRPr="00F66630">
        <w:rPr>
          <w:b/>
        </w:rPr>
        <w:t xml:space="preserve"> on State official website(s)</w:t>
      </w:r>
      <w:r w:rsidRPr="00F66630">
        <w:rPr>
          <w:b/>
        </w:rPr>
        <w:t>:</w:t>
      </w:r>
    </w:p>
    <w:p w14:paraId="40938469" w14:textId="11A1B09F" w:rsidR="00BF4333" w:rsidRPr="00F66630" w:rsidRDefault="00265D92" w:rsidP="00DB2B61">
      <w:pPr>
        <w:pStyle w:val="Minh"/>
        <w:numPr>
          <w:ilvl w:val="1"/>
          <w:numId w:val="40"/>
        </w:numPr>
        <w:spacing w:before="0" w:after="0"/>
      </w:pPr>
      <w:r w:rsidRPr="00F66630">
        <w:t xml:space="preserve">DLRs which require </w:t>
      </w:r>
      <w:r w:rsidR="00E709AC" w:rsidRPr="00F66630">
        <w:t>information</w:t>
      </w:r>
      <w:r w:rsidRPr="00F66630">
        <w:t xml:space="preserve"> to be “published” means that at a minimum</w:t>
      </w:r>
      <w:r w:rsidR="00E709AC" w:rsidRPr="00F66630">
        <w:t>,</w:t>
      </w:r>
      <w:r w:rsidRPr="00F66630">
        <w:t xml:space="preserve"> </w:t>
      </w:r>
      <w:r w:rsidR="00AE3E49" w:rsidRPr="00F66630">
        <w:t xml:space="preserve">they are </w:t>
      </w:r>
      <w:r w:rsidRPr="00F66630">
        <w:t>published online on an official state website or state web portal</w:t>
      </w:r>
      <w:r w:rsidR="00AE3E49" w:rsidRPr="00F66630">
        <w:t>.</w:t>
      </w:r>
    </w:p>
    <w:p w14:paraId="4185D370" w14:textId="00755BCE" w:rsidR="00BF4333" w:rsidRPr="00F66630" w:rsidRDefault="00EB772D" w:rsidP="00DB2B61">
      <w:pPr>
        <w:pStyle w:val="Minh"/>
        <w:numPr>
          <w:ilvl w:val="1"/>
          <w:numId w:val="40"/>
        </w:numPr>
        <w:spacing w:before="0" w:after="0"/>
      </w:pPr>
      <w:r w:rsidRPr="00F66630">
        <w:rPr>
          <w:b/>
          <w:bCs/>
          <w:iCs/>
        </w:rPr>
        <w:t xml:space="preserve">State official </w:t>
      </w:r>
      <w:r w:rsidR="00BF4333" w:rsidRPr="00F66630">
        <w:rPr>
          <w:b/>
          <w:bCs/>
          <w:iCs/>
        </w:rPr>
        <w:t>website(s)</w:t>
      </w:r>
      <w:r w:rsidR="00BF4333" w:rsidRPr="00F66630">
        <w:t xml:space="preserve"> include the </w:t>
      </w:r>
      <w:r w:rsidRPr="00F66630">
        <w:t>website</w:t>
      </w:r>
      <w:r w:rsidR="00BF4333" w:rsidRPr="00F66630">
        <w:t xml:space="preserve"> of the State Government</w:t>
      </w:r>
      <w:r w:rsidRPr="00F66630">
        <w:t xml:space="preserve">, the website of the Office of the Auditor-General for States, the website of </w:t>
      </w:r>
      <w:r w:rsidR="00BF4333" w:rsidRPr="00F66630">
        <w:t xml:space="preserve">relevant </w:t>
      </w:r>
      <w:r w:rsidRPr="00F66630">
        <w:t xml:space="preserve">State </w:t>
      </w:r>
      <w:r w:rsidR="00BF4333" w:rsidRPr="00F66630">
        <w:t>Ministries such as Finance, Budgets and Economic Planning, or the website</w:t>
      </w:r>
      <w:r w:rsidRPr="00F66630">
        <w:t xml:space="preserve"> of the State House of Assembly.</w:t>
      </w:r>
    </w:p>
    <w:p w14:paraId="1F24C040" w14:textId="678B2ABF" w:rsidR="00E77684" w:rsidRPr="00F66630" w:rsidRDefault="004F1211" w:rsidP="00DB2B61">
      <w:pPr>
        <w:pStyle w:val="Minh"/>
        <w:numPr>
          <w:ilvl w:val="1"/>
          <w:numId w:val="40"/>
        </w:numPr>
        <w:spacing w:before="0" w:after="0"/>
      </w:pPr>
      <w:r w:rsidRPr="00F66630">
        <w:t xml:space="preserve">All information required to be </w:t>
      </w:r>
      <w:r w:rsidR="00E77684" w:rsidRPr="00F66630">
        <w:t>p</w:t>
      </w:r>
      <w:r w:rsidR="002C3B16" w:rsidRPr="00F66630">
        <w:t xml:space="preserve">ublished on </w:t>
      </w:r>
      <w:r w:rsidR="00BF4333" w:rsidRPr="00F66630">
        <w:t>the s</w:t>
      </w:r>
      <w:r w:rsidRPr="00F66630">
        <w:t>tates’</w:t>
      </w:r>
      <w:r w:rsidR="00A9594C" w:rsidRPr="00F66630">
        <w:t xml:space="preserve"> </w:t>
      </w:r>
      <w:r w:rsidR="002C3B16" w:rsidRPr="00F66630">
        <w:t>website</w:t>
      </w:r>
      <w:r w:rsidRPr="00F66630">
        <w:t xml:space="preserve">(s) by </w:t>
      </w:r>
      <w:r w:rsidR="002C3B16" w:rsidRPr="00F66630">
        <w:t>certain date</w:t>
      </w:r>
      <w:r w:rsidRPr="00F66630">
        <w:t xml:space="preserve">s are to remain </w:t>
      </w:r>
      <w:r w:rsidR="002C3B16" w:rsidRPr="00F66630">
        <w:t xml:space="preserve">on the website indefinitely. </w:t>
      </w:r>
      <w:r w:rsidRPr="00F66630">
        <w:t>This</w:t>
      </w:r>
      <w:r w:rsidR="002C3B16" w:rsidRPr="00F66630">
        <w:t xml:space="preserve"> will be checked periodically </w:t>
      </w:r>
      <w:r w:rsidRPr="00F66630">
        <w:t xml:space="preserve">(at least </w:t>
      </w:r>
      <w:r w:rsidR="002C3B16" w:rsidRPr="00F66630">
        <w:t>quarterly</w:t>
      </w:r>
      <w:r w:rsidR="00FF4AC0" w:rsidRPr="00F66630">
        <w:t>)</w:t>
      </w:r>
      <w:r w:rsidR="002C3B16" w:rsidRPr="00F66630">
        <w:t xml:space="preserve"> by </w:t>
      </w:r>
      <w:r w:rsidR="00FF4AC0" w:rsidRPr="00F66630">
        <w:t xml:space="preserve">the </w:t>
      </w:r>
      <w:r w:rsidR="002C3B16" w:rsidRPr="00F66630">
        <w:t>IVA.</w:t>
      </w:r>
      <w:r w:rsidR="00E77684" w:rsidRPr="00F66630">
        <w:t xml:space="preserve"> </w:t>
      </w:r>
      <w:r w:rsidR="00B340BC" w:rsidRPr="00F66630">
        <w:t xml:space="preserve">All information placed on websites by </w:t>
      </w:r>
      <w:r w:rsidR="00A9594C" w:rsidRPr="00F66630">
        <w:t>s</w:t>
      </w:r>
      <w:r w:rsidR="00B340BC" w:rsidRPr="00F66630">
        <w:t xml:space="preserve">tates must be </w:t>
      </w:r>
      <w:r w:rsidR="00B340BC" w:rsidRPr="00F66630">
        <w:lastRenderedPageBreak/>
        <w:t>timestamped to show the date and time of publication</w:t>
      </w:r>
      <w:r w:rsidR="00A74B73" w:rsidRPr="00F66630">
        <w:t>.</w:t>
      </w:r>
      <w:r w:rsidR="009B6BAC" w:rsidRPr="00F66630">
        <w:t xml:space="preserve"> Where a required publication is not timestamped and the IVA is subsequently unable to verify the date of publication, the requirement will be assessed as not met.</w:t>
      </w:r>
    </w:p>
    <w:p w14:paraId="3D65D56B" w14:textId="1F6457DB" w:rsidR="002C3B16" w:rsidRPr="00F66630" w:rsidRDefault="00E77684" w:rsidP="00DB2B61">
      <w:pPr>
        <w:pStyle w:val="Minh"/>
        <w:numPr>
          <w:ilvl w:val="1"/>
          <w:numId w:val="40"/>
        </w:numPr>
        <w:spacing w:before="0" w:after="0"/>
      </w:pPr>
      <w:r w:rsidRPr="00F66630">
        <w:t xml:space="preserve">All information required to be published on the </w:t>
      </w:r>
      <w:r w:rsidR="00A9594C" w:rsidRPr="00F66630">
        <w:t>s</w:t>
      </w:r>
      <w:r w:rsidRPr="00F66630">
        <w:t>tates’ website</w:t>
      </w:r>
      <w:r w:rsidR="00A9594C" w:rsidRPr="00F66630">
        <w:t>(</w:t>
      </w:r>
      <w:r w:rsidRPr="00F66630">
        <w:t>s</w:t>
      </w:r>
      <w:r w:rsidR="00A9594C" w:rsidRPr="00F66630">
        <w:t>)</w:t>
      </w:r>
      <w:r w:rsidRPr="00F66630">
        <w:t xml:space="preserve"> must be well sign-posted and easy for visitors to the websites to find. </w:t>
      </w:r>
      <w:proofErr w:type="gramStart"/>
      <w:r w:rsidRPr="00F66630">
        <w:t>In particular, links</w:t>
      </w:r>
      <w:proofErr w:type="gramEnd"/>
      <w:r w:rsidRPr="00F66630">
        <w:t xml:space="preserve"> to these online pub</w:t>
      </w:r>
      <w:r w:rsidR="009D3177" w:rsidRPr="00F66630">
        <w:t>lications and databases must be clearly identifiable on the home pages of each website.</w:t>
      </w:r>
      <w:r w:rsidR="00265D92" w:rsidRPr="00F66630">
        <w:t xml:space="preserve"> This is particularly important for DLI #2 strengthening citizens engagement in the budget process.</w:t>
      </w:r>
      <w:r w:rsidRPr="00F66630">
        <w:t xml:space="preserve"> </w:t>
      </w:r>
    </w:p>
    <w:p w14:paraId="06B93614" w14:textId="60FE49A2" w:rsidR="002C3B16" w:rsidRPr="00F66630" w:rsidRDefault="002C3B16" w:rsidP="00DB2B61">
      <w:pPr>
        <w:pStyle w:val="Minh"/>
        <w:numPr>
          <w:ilvl w:val="1"/>
          <w:numId w:val="40"/>
        </w:numPr>
        <w:spacing w:before="0"/>
      </w:pPr>
      <w:r w:rsidRPr="00F66630">
        <w:t>For all evidence to be downloaded from the state official website</w:t>
      </w:r>
      <w:r w:rsidR="00FF4AC0" w:rsidRPr="00F66630">
        <w:t>(s)</w:t>
      </w:r>
      <w:r w:rsidRPr="00F66630">
        <w:t>, the state</w:t>
      </w:r>
      <w:r w:rsidR="003B101E" w:rsidRPr="00F66630">
        <w:t>s</w:t>
      </w:r>
      <w:r w:rsidRPr="00F66630">
        <w:t xml:space="preserve"> </w:t>
      </w:r>
      <w:r w:rsidR="00FF4AC0" w:rsidRPr="00F66630">
        <w:t>are</w:t>
      </w:r>
      <w:r w:rsidRPr="00F66630">
        <w:t xml:space="preserve"> to inform IVA of the link</w:t>
      </w:r>
      <w:r w:rsidR="00FF4AC0" w:rsidRPr="00F66630">
        <w:t xml:space="preserve"> and the s</w:t>
      </w:r>
      <w:r w:rsidRPr="00F66630">
        <w:t>pecific web</w:t>
      </w:r>
      <w:r w:rsidR="00FF4AC0" w:rsidRPr="00F66630">
        <w:t>pages.</w:t>
      </w:r>
      <w:r w:rsidR="009B6BAC" w:rsidRPr="00F66630">
        <w:t xml:space="preserve"> Please note also that all evidence must therefore be downloadable</w:t>
      </w:r>
      <w:r w:rsidR="00E709AC" w:rsidRPr="00F66630">
        <w:t xml:space="preserve"> and in PDF formats</w:t>
      </w:r>
      <w:r w:rsidR="009B6BAC" w:rsidRPr="00F66630">
        <w:t>.</w:t>
      </w:r>
    </w:p>
    <w:p w14:paraId="7D2DD430" w14:textId="0D04532A" w:rsidR="00495E40" w:rsidRPr="00F66630" w:rsidRDefault="00495E40" w:rsidP="003C4D12">
      <w:pPr>
        <w:pStyle w:val="Minh"/>
        <w:numPr>
          <w:ilvl w:val="0"/>
          <w:numId w:val="40"/>
        </w:numPr>
        <w:spacing w:before="0"/>
      </w:pPr>
      <w:r w:rsidRPr="00F66630">
        <w:rPr>
          <w:b/>
        </w:rPr>
        <w:t xml:space="preserve">Use of </w:t>
      </w:r>
      <w:r w:rsidR="0039050B" w:rsidRPr="00F66630">
        <w:rPr>
          <w:b/>
        </w:rPr>
        <w:t>Audited Annual Financial Statements</w:t>
      </w:r>
      <w:r w:rsidRPr="00F66630">
        <w:rPr>
          <w:b/>
        </w:rPr>
        <w:t>:</w:t>
      </w:r>
      <w:r w:rsidR="0094131A" w:rsidRPr="00F66630">
        <w:t xml:space="preserve"> </w:t>
      </w:r>
      <w:r w:rsidR="009865DE" w:rsidRPr="00F66630">
        <w:t xml:space="preserve">Where financial statements are </w:t>
      </w:r>
      <w:r w:rsidR="00804079" w:rsidRPr="00F66630">
        <w:t xml:space="preserve">the basis </w:t>
      </w:r>
      <w:r w:rsidR="009865DE" w:rsidRPr="00F66630">
        <w:t xml:space="preserve">to assess </w:t>
      </w:r>
      <w:r w:rsidRPr="00F66630">
        <w:t>DLRs</w:t>
      </w:r>
      <w:r w:rsidR="00A02190" w:rsidRPr="00F66630">
        <w:t xml:space="preserve">, </w:t>
      </w:r>
      <w:r w:rsidR="00A23158" w:rsidRPr="00F66630">
        <w:t xml:space="preserve">the Audited Annual Financial Statements for the State </w:t>
      </w:r>
      <w:r w:rsidR="00804079" w:rsidRPr="00F66630">
        <w:t xml:space="preserve">or the Local Government </w:t>
      </w:r>
      <w:r w:rsidR="009865DE" w:rsidRPr="00F66630">
        <w:t>will be used</w:t>
      </w:r>
      <w:r w:rsidRPr="00F66630">
        <w:t>.</w:t>
      </w:r>
    </w:p>
    <w:p w14:paraId="39AB58A3" w14:textId="77777777" w:rsidR="00495E40" w:rsidRPr="00F66630" w:rsidRDefault="00495E40" w:rsidP="003C4D12">
      <w:pPr>
        <w:pStyle w:val="Minh"/>
        <w:numPr>
          <w:ilvl w:val="0"/>
          <w:numId w:val="40"/>
        </w:numPr>
        <w:spacing w:before="0"/>
        <w:rPr>
          <w:b/>
        </w:rPr>
      </w:pPr>
      <w:r w:rsidRPr="00F66630">
        <w:rPr>
          <w:b/>
        </w:rPr>
        <w:t>Treatment of cash and accrual accounting:</w:t>
      </w:r>
    </w:p>
    <w:p w14:paraId="7D742BCB" w14:textId="59215F03" w:rsidR="00495E40" w:rsidRPr="00F66630" w:rsidRDefault="00495E40" w:rsidP="003C4D12">
      <w:pPr>
        <w:pStyle w:val="Minh"/>
        <w:numPr>
          <w:ilvl w:val="1"/>
          <w:numId w:val="40"/>
        </w:numPr>
        <w:spacing w:before="0" w:after="0"/>
      </w:pPr>
      <w:r w:rsidRPr="00F66630">
        <w:t xml:space="preserve">States using cash accounting will be expected to produce annual and year-end figures on a cash basis. States that have moved to accrual accounting will be expected to produce annual and year-end figures on an accrual basis. </w:t>
      </w:r>
    </w:p>
    <w:p w14:paraId="6CC10EFE" w14:textId="07728460" w:rsidR="00495E40" w:rsidRPr="00F66630" w:rsidRDefault="00495E40" w:rsidP="003C4D12">
      <w:pPr>
        <w:pStyle w:val="Minh"/>
        <w:numPr>
          <w:ilvl w:val="1"/>
          <w:numId w:val="40"/>
        </w:numPr>
        <w:spacing w:before="0"/>
      </w:pPr>
      <w:r w:rsidRPr="00F66630">
        <w:t xml:space="preserve">Where a State provides audited financial statements and reports that are prepared on an accrual basis, the IVA will conduct its calculations and analysis </w:t>
      </w:r>
      <w:proofErr w:type="gramStart"/>
      <w:r w:rsidRPr="00F66630">
        <w:t>on the basis of</w:t>
      </w:r>
      <w:proofErr w:type="gramEnd"/>
      <w:r w:rsidRPr="00F66630">
        <w:t xml:space="preserve"> the accrued balances and not on the basis of cash flows. All accrued balances included within the year-end figures submitted to the IVA will be validated separately by the IVA after the year end to confirm they were appropriate. Where a state moves from cash to accrual accounting during the program, the IVA’s comparative analysis will apply the cash position for the first year of accrual accounting, and then apply the accrual position in the subsequent years.</w:t>
      </w:r>
    </w:p>
    <w:p w14:paraId="0A5C4654" w14:textId="605DE8C3" w:rsidR="002C3B16" w:rsidRPr="00F66630" w:rsidRDefault="002C3B16" w:rsidP="003C4D12">
      <w:pPr>
        <w:pStyle w:val="Minh"/>
        <w:numPr>
          <w:ilvl w:val="0"/>
          <w:numId w:val="40"/>
        </w:numPr>
        <w:spacing w:before="0"/>
      </w:pPr>
      <w:r w:rsidRPr="00F66630">
        <w:t xml:space="preserve">The IVA will report </w:t>
      </w:r>
      <w:r w:rsidR="00FF4AC0" w:rsidRPr="00F66630">
        <w:t xml:space="preserve">on </w:t>
      </w:r>
      <w:r w:rsidRPr="00F66630">
        <w:t xml:space="preserve">any indications of systemic </w:t>
      </w:r>
      <w:r w:rsidR="001A0310" w:rsidRPr="00F66630">
        <w:t xml:space="preserve">attempts at fraudulent reporting of data related to DLR achievement by participating states </w:t>
      </w:r>
      <w:r w:rsidRPr="00F66630">
        <w:t>for conside</w:t>
      </w:r>
      <w:r w:rsidR="00104D3A" w:rsidRPr="00F66630">
        <w:t>ration by the World Bank</w:t>
      </w:r>
      <w:r w:rsidRPr="00F66630">
        <w:t xml:space="preserve"> and </w:t>
      </w:r>
      <w:proofErr w:type="spellStart"/>
      <w:r w:rsidRPr="00F66630">
        <w:t>FMoF</w:t>
      </w:r>
      <w:proofErr w:type="spellEnd"/>
      <w:r w:rsidR="00104D3A" w:rsidRPr="00F66630">
        <w:t xml:space="preserve"> Home Finance Department</w:t>
      </w:r>
      <w:r w:rsidR="00A74B73" w:rsidRPr="00F66630">
        <w:t xml:space="preserve">. </w:t>
      </w:r>
    </w:p>
    <w:p w14:paraId="1102CCAD" w14:textId="34DBD781" w:rsidR="002C3B16" w:rsidRPr="00F66630" w:rsidRDefault="002C3B16" w:rsidP="003C4D12">
      <w:pPr>
        <w:pStyle w:val="Minh"/>
        <w:numPr>
          <w:ilvl w:val="0"/>
          <w:numId w:val="40"/>
        </w:numPr>
        <w:spacing w:before="0"/>
      </w:pPr>
      <w:r w:rsidRPr="00F66630">
        <w:t xml:space="preserve">The IVA will retain documentary evidence to confirm </w:t>
      </w:r>
      <w:r w:rsidR="00822356" w:rsidRPr="00F66630">
        <w:t>all</w:t>
      </w:r>
      <w:r w:rsidRPr="00F66630">
        <w:t xml:space="preserve"> the checks</w:t>
      </w:r>
      <w:r w:rsidR="00FF4AC0" w:rsidRPr="00F66630">
        <w:t xml:space="preserve"> in the verification protocol</w:t>
      </w:r>
      <w:r w:rsidRPr="00F66630">
        <w:t xml:space="preserve"> have been carried out (the evidence can be in electronic or hard copy)</w:t>
      </w:r>
      <w:r w:rsidR="001A0310" w:rsidRPr="00F66630">
        <w:t>.</w:t>
      </w:r>
    </w:p>
    <w:p w14:paraId="3372B941" w14:textId="0568C500" w:rsidR="002C3B16" w:rsidRPr="00F66630" w:rsidRDefault="00435B55" w:rsidP="003C4D12">
      <w:pPr>
        <w:pStyle w:val="Minh"/>
        <w:numPr>
          <w:ilvl w:val="0"/>
          <w:numId w:val="40"/>
        </w:numPr>
        <w:spacing w:before="0"/>
      </w:pPr>
      <w:r w:rsidRPr="00F66630">
        <w:t xml:space="preserve">For </w:t>
      </w:r>
      <w:r w:rsidR="00FF4AC0" w:rsidRPr="00F66630">
        <w:t xml:space="preserve">each </w:t>
      </w:r>
      <w:r w:rsidR="001B73C9" w:rsidRPr="00F66630">
        <w:t>round of performance assessments</w:t>
      </w:r>
      <w:r w:rsidR="00FF4AC0" w:rsidRPr="00F66630">
        <w:t>, t</w:t>
      </w:r>
      <w:r w:rsidR="002C3B16" w:rsidRPr="00F66630">
        <w:t xml:space="preserve">he IVA will prepare a </w:t>
      </w:r>
      <w:r w:rsidR="001C55D8" w:rsidRPr="00F66630">
        <w:t xml:space="preserve">draft </w:t>
      </w:r>
      <w:r w:rsidR="002C3B16" w:rsidRPr="00F66630">
        <w:t xml:space="preserve">report on key findings, conclusions and recommendations </w:t>
      </w:r>
      <w:r w:rsidR="00265D92" w:rsidRPr="00F66630">
        <w:t xml:space="preserve">and send </w:t>
      </w:r>
      <w:r w:rsidR="002C3B16" w:rsidRPr="00F66630">
        <w:t xml:space="preserve">to </w:t>
      </w:r>
      <w:r w:rsidR="00FF4AC0" w:rsidRPr="00F66630">
        <w:t>each</w:t>
      </w:r>
      <w:r w:rsidR="002C3B16" w:rsidRPr="00F66630">
        <w:t xml:space="preserve"> individual state as well as to </w:t>
      </w:r>
      <w:r w:rsidR="00FF4AC0" w:rsidRPr="00F66630">
        <w:t xml:space="preserve">the </w:t>
      </w:r>
      <w:proofErr w:type="spellStart"/>
      <w:r w:rsidR="00104D3A" w:rsidRPr="00F66630">
        <w:t>FMoF</w:t>
      </w:r>
      <w:proofErr w:type="spellEnd"/>
      <w:r w:rsidR="00104D3A" w:rsidRPr="00F66630">
        <w:t xml:space="preserve"> </w:t>
      </w:r>
      <w:r w:rsidR="002C3B16" w:rsidRPr="00F66630">
        <w:t xml:space="preserve">Home Finance </w:t>
      </w:r>
      <w:r w:rsidR="00FF4AC0" w:rsidRPr="00F66630">
        <w:t xml:space="preserve">Department and </w:t>
      </w:r>
      <w:r w:rsidR="002C3B16" w:rsidRPr="00F66630">
        <w:t xml:space="preserve">the </w:t>
      </w:r>
      <w:r w:rsidR="00104D3A" w:rsidRPr="00F66630">
        <w:t>World Bank</w:t>
      </w:r>
      <w:r w:rsidR="001C55D8" w:rsidRPr="00F66630">
        <w:t>, providing 10 calendar days for responses. The IVA</w:t>
      </w:r>
      <w:r w:rsidR="00210B86" w:rsidRPr="00F66630">
        <w:t xml:space="preserve"> will then prepare a final report</w:t>
      </w:r>
      <w:r w:rsidR="001D3A77" w:rsidRPr="00F66630">
        <w:t xml:space="preserve"> on key findings, </w:t>
      </w:r>
      <w:proofErr w:type="gramStart"/>
      <w:r w:rsidR="001D3A77" w:rsidRPr="00F66630">
        <w:t>conclusions</w:t>
      </w:r>
      <w:proofErr w:type="gramEnd"/>
      <w:r w:rsidR="001D3A77" w:rsidRPr="00F66630">
        <w:t xml:space="preserve"> and recommendations</w:t>
      </w:r>
      <w:r w:rsidR="007547B9" w:rsidRPr="00F66630">
        <w:t xml:space="preserve"> with annex on the response from states on the draft reports</w:t>
      </w:r>
      <w:r w:rsidR="001E3648" w:rsidRPr="00F66630">
        <w:t xml:space="preserve"> and the IVA’s </w:t>
      </w:r>
      <w:r w:rsidR="004A7E0D" w:rsidRPr="00F66630">
        <w:t>response and</w:t>
      </w:r>
      <w:r w:rsidR="001D3A77" w:rsidRPr="00F66630">
        <w:t xml:space="preserve"> send to each individual state as well as to the </w:t>
      </w:r>
      <w:proofErr w:type="spellStart"/>
      <w:r w:rsidR="001D3A77" w:rsidRPr="00F66630">
        <w:t>FMoF</w:t>
      </w:r>
      <w:proofErr w:type="spellEnd"/>
      <w:r w:rsidR="001D3A77" w:rsidRPr="00F66630">
        <w:t xml:space="preserve"> Home Finance Department and the World Bank.</w:t>
      </w:r>
    </w:p>
    <w:p w14:paraId="00D7D443" w14:textId="0854F6DC" w:rsidR="007419DC" w:rsidRPr="00F66630" w:rsidRDefault="007419DC">
      <w:pPr>
        <w:rPr>
          <w:rFonts w:ascii="Times New Roman" w:eastAsia="Times New Roman" w:hAnsi="Times New Roman" w:cs="Times New Roman"/>
          <w:b/>
          <w:color w:val="000000"/>
          <w:sz w:val="24"/>
          <w:szCs w:val="24"/>
          <w:lang w:eastAsia="en-GB"/>
        </w:rPr>
      </w:pPr>
    </w:p>
    <w:p w14:paraId="0E6B969F" w14:textId="3C393346" w:rsidR="00B9217B" w:rsidRPr="00F66630" w:rsidRDefault="00B9217B">
      <w:pPr>
        <w:rPr>
          <w:rFonts w:ascii="Times New Roman" w:eastAsia="Times New Roman" w:hAnsi="Times New Roman" w:cs="Times New Roman"/>
          <w:b/>
          <w:color w:val="000000"/>
          <w:sz w:val="24"/>
          <w:szCs w:val="24"/>
          <w:lang w:eastAsia="en-GB"/>
        </w:rPr>
      </w:pPr>
      <w:r w:rsidRPr="00F66630">
        <w:rPr>
          <w:b/>
        </w:rPr>
        <w:br w:type="page"/>
      </w:r>
      <w:r w:rsidR="0008420C">
        <w:rPr>
          <w:b/>
        </w:rPr>
        <w:lastRenderedPageBreak/>
        <w:t xml:space="preserve"> </w:t>
      </w:r>
    </w:p>
    <w:p w14:paraId="35A103C3" w14:textId="3E8EFC23" w:rsidR="00C93565" w:rsidRPr="00F66630" w:rsidRDefault="00B8747F" w:rsidP="001A0758">
      <w:pPr>
        <w:pStyle w:val="Minh"/>
        <w:numPr>
          <w:ilvl w:val="0"/>
          <w:numId w:val="0"/>
        </w:numPr>
        <w:spacing w:before="0"/>
        <w:jc w:val="left"/>
        <w:outlineLvl w:val="0"/>
        <w:rPr>
          <w:b/>
        </w:rPr>
      </w:pPr>
      <w:bookmarkStart w:id="14" w:name="_Toc107345845"/>
      <w:r w:rsidRPr="00F66630">
        <w:rPr>
          <w:b/>
        </w:rPr>
        <w:t xml:space="preserve">ORIGINAL DLIs: </w:t>
      </w:r>
      <w:r w:rsidR="00C93565" w:rsidRPr="00F66630">
        <w:rPr>
          <w:b/>
        </w:rPr>
        <w:t>Eligibility Criteria (EC) and Di</w:t>
      </w:r>
      <w:r w:rsidR="006D78C2" w:rsidRPr="00F66630">
        <w:rPr>
          <w:b/>
        </w:rPr>
        <w:t>sbursement-linked Result (DLR</w:t>
      </w:r>
      <w:r w:rsidR="00C93565" w:rsidRPr="00F66630">
        <w:rPr>
          <w:b/>
        </w:rPr>
        <w:t>) Verification Protocol</w:t>
      </w:r>
      <w:bookmarkEnd w:id="14"/>
    </w:p>
    <w:tbl>
      <w:tblPr>
        <w:tblStyle w:val="TableGrid"/>
        <w:tblW w:w="5315" w:type="pct"/>
        <w:tblLook w:val="04A0" w:firstRow="1" w:lastRow="0" w:firstColumn="1" w:lastColumn="0" w:noHBand="0" w:noVBand="1"/>
      </w:tblPr>
      <w:tblGrid>
        <w:gridCol w:w="2426"/>
        <w:gridCol w:w="11340"/>
      </w:tblGrid>
      <w:tr w:rsidR="00886223" w:rsidRPr="00F66630" w14:paraId="5A8E4BF1" w14:textId="77777777" w:rsidTr="00176CC2">
        <w:trPr>
          <w:trHeight w:val="71"/>
        </w:trPr>
        <w:tc>
          <w:tcPr>
            <w:tcW w:w="5000" w:type="pct"/>
            <w:gridSpan w:val="2"/>
            <w:shd w:val="clear" w:color="auto" w:fill="EAF1DD" w:themeFill="accent3" w:themeFillTint="33"/>
          </w:tcPr>
          <w:p w14:paraId="0065C048" w14:textId="3763FD3F" w:rsidR="00886223" w:rsidRPr="00F66630" w:rsidRDefault="00886223" w:rsidP="005438D1">
            <w:pPr>
              <w:pStyle w:val="Heading3"/>
              <w:numPr>
                <w:ilvl w:val="0"/>
                <w:numId w:val="0"/>
              </w:numPr>
              <w:outlineLvl w:val="2"/>
              <w:rPr>
                <w:rFonts w:eastAsia="Calibri"/>
                <w:sz w:val="22"/>
                <w:szCs w:val="22"/>
              </w:rPr>
            </w:pPr>
            <w:bookmarkStart w:id="15" w:name="_Toc107345846"/>
            <w:r w:rsidRPr="00F66630">
              <w:rPr>
                <w:rFonts w:ascii="Times New Roman Bold" w:eastAsia="Calibri" w:hAnsi="Times New Roman Bold"/>
                <w:sz w:val="22"/>
                <w:szCs w:val="22"/>
              </w:rPr>
              <w:t>Eligibility Crit</w:t>
            </w:r>
            <w:r w:rsidR="00213F3A" w:rsidRPr="00F66630">
              <w:rPr>
                <w:rFonts w:ascii="Times New Roman Bold" w:eastAsia="Calibri" w:hAnsi="Times New Roman Bold"/>
                <w:sz w:val="22"/>
                <w:szCs w:val="22"/>
              </w:rPr>
              <w:t>eria</w:t>
            </w:r>
            <w:r w:rsidR="00BB1303" w:rsidRPr="00F66630">
              <w:rPr>
                <w:rFonts w:ascii="Times New Roman Bold" w:eastAsia="Calibri" w:hAnsi="Times New Roman Bold"/>
                <w:sz w:val="22"/>
                <w:szCs w:val="22"/>
              </w:rPr>
              <w:t xml:space="preserve"> for Original DLIs</w:t>
            </w:r>
            <w:bookmarkEnd w:id="15"/>
          </w:p>
        </w:tc>
      </w:tr>
      <w:tr w:rsidR="00886223" w:rsidRPr="00F66630" w14:paraId="21690033" w14:textId="77777777" w:rsidTr="00176CC2">
        <w:trPr>
          <w:trHeight w:val="350"/>
        </w:trPr>
        <w:tc>
          <w:tcPr>
            <w:tcW w:w="881" w:type="pct"/>
            <w:shd w:val="clear" w:color="auto" w:fill="FDE9D9" w:themeFill="accent6" w:themeFillTint="33"/>
          </w:tcPr>
          <w:p w14:paraId="4E7FB613" w14:textId="61ABC3FB" w:rsidR="00886223" w:rsidRPr="00F66630" w:rsidRDefault="00BF4333" w:rsidP="00395C93">
            <w:pPr>
              <w:rPr>
                <w:rFonts w:ascii="Times New Roman" w:hAnsi="Times New Roman" w:cs="Times New Roman"/>
                <w:b/>
                <w:i/>
              </w:rPr>
            </w:pPr>
            <w:r w:rsidRPr="00F66630">
              <w:rPr>
                <w:rFonts w:ascii="Times New Roman" w:hAnsi="Times New Roman" w:cs="Times New Roman"/>
                <w:b/>
                <w:i/>
              </w:rPr>
              <w:t xml:space="preserve">Description </w:t>
            </w:r>
            <w:r w:rsidR="00176CC2" w:rsidRPr="00F66630">
              <w:rPr>
                <w:rFonts w:ascii="Times New Roman" w:hAnsi="Times New Roman" w:cs="Times New Roman"/>
                <w:b/>
                <w:i/>
              </w:rPr>
              <w:t>in</w:t>
            </w:r>
            <w:r w:rsidRPr="00F66630">
              <w:rPr>
                <w:rFonts w:ascii="Times New Roman" w:hAnsi="Times New Roman" w:cs="Times New Roman"/>
                <w:b/>
                <w:i/>
              </w:rPr>
              <w:t xml:space="preserve"> </w:t>
            </w:r>
            <w:r w:rsidR="00176CC2" w:rsidRPr="00F66630">
              <w:rPr>
                <w:rFonts w:ascii="Times New Roman" w:hAnsi="Times New Roman" w:cs="Times New Roman"/>
                <w:b/>
                <w:i/>
              </w:rPr>
              <w:t xml:space="preserve">EC </w:t>
            </w:r>
            <w:r w:rsidRPr="00F66630">
              <w:rPr>
                <w:rFonts w:ascii="Times New Roman" w:hAnsi="Times New Roman" w:cs="Times New Roman"/>
                <w:b/>
                <w:i/>
              </w:rPr>
              <w:t>Table</w:t>
            </w:r>
          </w:p>
        </w:tc>
        <w:tc>
          <w:tcPr>
            <w:tcW w:w="4119" w:type="pct"/>
            <w:shd w:val="clear" w:color="auto" w:fill="FDE9D9" w:themeFill="accent6" w:themeFillTint="33"/>
          </w:tcPr>
          <w:p w14:paraId="47A85F9E" w14:textId="78ADBD76" w:rsidR="00886223" w:rsidRPr="00F66630" w:rsidRDefault="00886223" w:rsidP="00395C93">
            <w:pPr>
              <w:pStyle w:val="NoSpacing"/>
              <w:rPr>
                <w:rFonts w:ascii="Times New Roman" w:hAnsi="Times New Roman" w:cs="Times New Roman"/>
                <w:b/>
                <w:i/>
              </w:rPr>
            </w:pPr>
            <w:r w:rsidRPr="00F66630">
              <w:rPr>
                <w:rFonts w:ascii="Times New Roman" w:hAnsi="Times New Roman" w:cs="Times New Roman"/>
                <w:b/>
                <w:i/>
              </w:rPr>
              <w:t xml:space="preserve">Definition/Description of </w:t>
            </w:r>
            <w:r w:rsidR="00BF4333" w:rsidRPr="00F66630">
              <w:rPr>
                <w:rFonts w:ascii="Times New Roman" w:hAnsi="Times New Roman" w:cs="Times New Roman"/>
                <w:b/>
                <w:i/>
              </w:rPr>
              <w:t>EC</w:t>
            </w:r>
            <w:r w:rsidR="007D562A" w:rsidRPr="00F66630">
              <w:rPr>
                <w:rFonts w:ascii="Times New Roman" w:hAnsi="Times New Roman" w:cs="Times New Roman"/>
                <w:b/>
                <w:i/>
              </w:rPr>
              <w:t xml:space="preserve"> </w:t>
            </w:r>
            <w:r w:rsidRPr="00F66630">
              <w:rPr>
                <w:rFonts w:ascii="Times New Roman" w:hAnsi="Times New Roman" w:cs="Times New Roman"/>
                <w:b/>
                <w:i/>
              </w:rPr>
              <w:t>achievement</w:t>
            </w:r>
          </w:p>
        </w:tc>
      </w:tr>
      <w:tr w:rsidR="00886223" w:rsidRPr="00F66630" w14:paraId="645E6B25" w14:textId="77777777" w:rsidTr="00176CC2">
        <w:tc>
          <w:tcPr>
            <w:tcW w:w="881" w:type="pct"/>
          </w:tcPr>
          <w:p w14:paraId="2BA61268" w14:textId="71001411" w:rsidR="00886223" w:rsidRPr="00F66630" w:rsidRDefault="00886223" w:rsidP="00395C93">
            <w:pPr>
              <w:rPr>
                <w:rFonts w:ascii="Times New Roman" w:eastAsia="Calibri" w:hAnsi="Times New Roman" w:cs="Times New Roman"/>
                <w:b/>
                <w:bCs/>
              </w:rPr>
            </w:pPr>
            <w:r w:rsidRPr="00F66630">
              <w:rPr>
                <w:rFonts w:ascii="Times New Roman" w:eastAsia="Calibri" w:hAnsi="Times New Roman" w:cs="Times New Roman"/>
                <w:b/>
                <w:bCs/>
              </w:rPr>
              <w:t xml:space="preserve">Annual State budget [prepared under the National Chart of Accounts] approved by the State Assembly and published online </w:t>
            </w:r>
            <w:r w:rsidR="00F90057" w:rsidRPr="00F66630">
              <w:rPr>
                <w:rFonts w:ascii="Times New Roman" w:eastAsia="Calibri" w:hAnsi="Times New Roman" w:cs="Times New Roman"/>
                <w:b/>
                <w:bCs/>
                <w:i/>
              </w:rPr>
              <w:t>[by specified date]</w:t>
            </w:r>
          </w:p>
          <w:p w14:paraId="2FA0F2CE" w14:textId="77777777" w:rsidR="00886223" w:rsidRPr="00F66630" w:rsidRDefault="00886223" w:rsidP="00395C93">
            <w:pPr>
              <w:rPr>
                <w:rFonts w:ascii="Times New Roman" w:eastAsia="Calibri" w:hAnsi="Times New Roman" w:cs="Times New Roman"/>
                <w:b/>
                <w:bCs/>
              </w:rPr>
            </w:pPr>
          </w:p>
          <w:p w14:paraId="5B523846" w14:textId="77777777" w:rsidR="00886223" w:rsidRPr="00F66630" w:rsidRDefault="00886223" w:rsidP="00395C93">
            <w:pPr>
              <w:rPr>
                <w:rFonts w:ascii="Times New Roman" w:eastAsia="Calibri" w:hAnsi="Times New Roman" w:cs="Times New Roman"/>
                <w:b/>
                <w:bCs/>
              </w:rPr>
            </w:pPr>
            <w:r w:rsidRPr="00F66630">
              <w:rPr>
                <w:rFonts w:ascii="Times New Roman" w:eastAsia="Calibri" w:hAnsi="Times New Roman" w:cs="Times New Roman"/>
                <w:b/>
                <w:bCs/>
              </w:rPr>
              <w:t xml:space="preserve">AND </w:t>
            </w:r>
          </w:p>
          <w:p w14:paraId="450E8DD4" w14:textId="77777777" w:rsidR="00886223" w:rsidRPr="00F66630" w:rsidRDefault="00886223" w:rsidP="00395C93">
            <w:pPr>
              <w:rPr>
                <w:rFonts w:ascii="Times New Roman" w:eastAsia="Calibri" w:hAnsi="Times New Roman" w:cs="Times New Roman"/>
                <w:b/>
                <w:bCs/>
              </w:rPr>
            </w:pPr>
          </w:p>
          <w:p w14:paraId="0B4CCD0C" w14:textId="77777777" w:rsidR="00886223" w:rsidRPr="00F66630" w:rsidRDefault="00886223" w:rsidP="00395C93">
            <w:pPr>
              <w:rPr>
                <w:rFonts w:ascii="Times New Roman" w:eastAsia="Calibri" w:hAnsi="Times New Roman" w:cs="Times New Roman"/>
                <w:b/>
                <w:bCs/>
                <w:i/>
              </w:rPr>
            </w:pPr>
            <w:r w:rsidRPr="00F66630">
              <w:rPr>
                <w:rFonts w:ascii="Times New Roman" w:eastAsia="Calibri" w:hAnsi="Times New Roman" w:cs="Times New Roman"/>
                <w:b/>
                <w:bCs/>
              </w:rPr>
              <w:t>Annual audited financial statement [prepared in accordance with IPSAS] submitted to the State Assembly and published online</w:t>
            </w:r>
            <w:r w:rsidR="00F90057" w:rsidRPr="00F66630">
              <w:rPr>
                <w:rFonts w:ascii="Times New Roman" w:eastAsia="Calibri" w:hAnsi="Times New Roman" w:cs="Times New Roman"/>
                <w:b/>
                <w:bCs/>
              </w:rPr>
              <w:t xml:space="preserve"> </w:t>
            </w:r>
            <w:r w:rsidR="00F90057" w:rsidRPr="00F66630">
              <w:rPr>
                <w:rFonts w:ascii="Times New Roman" w:eastAsia="Calibri" w:hAnsi="Times New Roman" w:cs="Times New Roman"/>
                <w:b/>
                <w:bCs/>
                <w:i/>
              </w:rPr>
              <w:t>[by specified date]</w:t>
            </w:r>
          </w:p>
          <w:p w14:paraId="3914EEA6" w14:textId="4303FEA5" w:rsidR="00232FE6" w:rsidRPr="00F66630" w:rsidRDefault="00232FE6" w:rsidP="00395C93">
            <w:pPr>
              <w:rPr>
                <w:rFonts w:ascii="Times New Roman" w:hAnsi="Times New Roman" w:cs="Times New Roman"/>
                <w:b/>
              </w:rPr>
            </w:pPr>
          </w:p>
        </w:tc>
        <w:tc>
          <w:tcPr>
            <w:tcW w:w="4119" w:type="pct"/>
          </w:tcPr>
          <w:p w14:paraId="35AED21C" w14:textId="6A6E0F0F" w:rsidR="00886223" w:rsidRPr="00F66630" w:rsidRDefault="00886223" w:rsidP="00213F3A">
            <w:pPr>
              <w:spacing w:after="120"/>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The </w:t>
            </w:r>
            <w:r w:rsidR="007B4F09" w:rsidRPr="00F66630">
              <w:rPr>
                <w:rFonts w:ascii="Times New Roman" w:eastAsia="Times New Roman" w:hAnsi="Times New Roman" w:cs="Times New Roman"/>
                <w:color w:val="000000"/>
              </w:rPr>
              <w:t xml:space="preserve">following </w:t>
            </w:r>
            <w:r w:rsidRPr="00F66630">
              <w:rPr>
                <w:rFonts w:ascii="Times New Roman" w:eastAsia="Times New Roman" w:hAnsi="Times New Roman" w:cs="Times New Roman"/>
                <w:color w:val="000000"/>
              </w:rPr>
              <w:t>disclosures will be made on the official website of the State that can be accessed by specific timelines define</w:t>
            </w:r>
            <w:r w:rsidR="007B4F09" w:rsidRPr="00F66630">
              <w:rPr>
                <w:rFonts w:ascii="Times New Roman" w:eastAsia="Times New Roman" w:hAnsi="Times New Roman" w:cs="Times New Roman"/>
                <w:color w:val="000000"/>
              </w:rPr>
              <w:t xml:space="preserve">d for each of the Program years in the </w:t>
            </w:r>
            <w:r w:rsidR="00BF4333" w:rsidRPr="00F66630">
              <w:rPr>
                <w:rFonts w:ascii="Times New Roman" w:eastAsia="Times New Roman" w:hAnsi="Times New Roman" w:cs="Times New Roman"/>
                <w:color w:val="000000"/>
              </w:rPr>
              <w:t>Eligibility Criteria Table</w:t>
            </w:r>
            <w:r w:rsidR="007B4F09" w:rsidRPr="00F66630">
              <w:rPr>
                <w:rFonts w:ascii="Times New Roman" w:eastAsia="Times New Roman" w:hAnsi="Times New Roman" w:cs="Times New Roman"/>
                <w:color w:val="000000"/>
              </w:rPr>
              <w:t>:</w:t>
            </w:r>
          </w:p>
          <w:p w14:paraId="20282EB7" w14:textId="5B72748F" w:rsidR="007B4F09" w:rsidRPr="00F66630" w:rsidRDefault="00633CE7" w:rsidP="00213F3A">
            <w:pPr>
              <w:spacing w:after="120"/>
              <w:rPr>
                <w:rFonts w:ascii="Times New Roman" w:eastAsia="Times New Roman" w:hAnsi="Times New Roman" w:cs="Times New Roman"/>
                <w:color w:val="000000"/>
              </w:rPr>
            </w:pPr>
            <w:r w:rsidRPr="00F66630">
              <w:rPr>
                <w:rFonts w:ascii="Times New Roman" w:eastAsia="Times New Roman" w:hAnsi="Times New Roman" w:cs="Times New Roman"/>
                <w:b/>
                <w:color w:val="000000"/>
              </w:rPr>
              <w:t>A</w:t>
            </w:r>
            <w:r w:rsidR="007B4F09" w:rsidRPr="00F66630">
              <w:rPr>
                <w:rFonts w:ascii="Times New Roman" w:eastAsia="Times New Roman" w:hAnsi="Times New Roman" w:cs="Times New Roman"/>
                <w:b/>
                <w:color w:val="000000"/>
              </w:rPr>
              <w:t xml:space="preserve">nnual </w:t>
            </w:r>
            <w:r w:rsidRPr="00F66630">
              <w:rPr>
                <w:rFonts w:ascii="Times New Roman" w:eastAsia="Times New Roman" w:hAnsi="Times New Roman" w:cs="Times New Roman"/>
                <w:b/>
                <w:color w:val="000000"/>
              </w:rPr>
              <w:t xml:space="preserve">state </w:t>
            </w:r>
            <w:r w:rsidR="007B4F09" w:rsidRPr="00F66630">
              <w:rPr>
                <w:rFonts w:ascii="Times New Roman" w:eastAsia="Times New Roman" w:hAnsi="Times New Roman" w:cs="Times New Roman"/>
                <w:b/>
                <w:color w:val="000000"/>
              </w:rPr>
              <w:t>budget</w:t>
            </w:r>
            <w:r w:rsidRPr="00F66630">
              <w:rPr>
                <w:rFonts w:ascii="Times New Roman" w:eastAsia="Times New Roman" w:hAnsi="Times New Roman" w:cs="Times New Roman"/>
                <w:b/>
                <w:color w:val="000000"/>
              </w:rPr>
              <w:t xml:space="preserve"> approved by the State Assembly</w:t>
            </w:r>
            <w:r w:rsidR="007B4F09" w:rsidRPr="00F66630">
              <w:rPr>
                <w:rFonts w:ascii="Times New Roman" w:eastAsia="Times New Roman" w:hAnsi="Times New Roman" w:cs="Times New Roman"/>
                <w:b/>
                <w:color w:val="000000"/>
              </w:rPr>
              <w:t xml:space="preserve">: </w:t>
            </w:r>
            <w:r w:rsidR="007B4F09" w:rsidRPr="00F66630">
              <w:rPr>
                <w:rFonts w:ascii="Times New Roman" w:eastAsia="Times New Roman" w:hAnsi="Times New Roman" w:cs="Times New Roman"/>
                <w:color w:val="000000"/>
              </w:rPr>
              <w:t>Th</w:t>
            </w:r>
            <w:r w:rsidR="00C913AF" w:rsidRPr="00F66630">
              <w:rPr>
                <w:rFonts w:ascii="Times New Roman" w:eastAsia="Times New Roman" w:hAnsi="Times New Roman" w:cs="Times New Roman"/>
                <w:color w:val="000000"/>
              </w:rPr>
              <w:t xml:space="preserve">is means that the annual state budget has been </w:t>
            </w:r>
            <w:r w:rsidR="00231633" w:rsidRPr="00F66630">
              <w:rPr>
                <w:rFonts w:ascii="Times New Roman" w:eastAsia="Times New Roman" w:hAnsi="Times New Roman" w:cs="Times New Roman"/>
                <w:color w:val="000000"/>
              </w:rPr>
              <w:t>passed</w:t>
            </w:r>
            <w:r w:rsidR="00D2733B" w:rsidRPr="00F66630">
              <w:rPr>
                <w:rFonts w:ascii="Times New Roman" w:eastAsia="Times New Roman" w:hAnsi="Times New Roman" w:cs="Times New Roman"/>
                <w:color w:val="000000"/>
              </w:rPr>
              <w:t xml:space="preserve"> by the State Assembly and has obtained the Governor’s assent </w:t>
            </w:r>
            <w:r w:rsidR="00DA302A" w:rsidRPr="00F66630">
              <w:rPr>
                <w:rFonts w:ascii="Times New Roman" w:eastAsia="Times New Roman" w:hAnsi="Times New Roman" w:cs="Times New Roman"/>
                <w:color w:val="000000"/>
              </w:rPr>
              <w:t>by the specified date</w:t>
            </w:r>
            <w:r w:rsidR="008725E3" w:rsidRPr="00F66630">
              <w:rPr>
                <w:rFonts w:ascii="Times New Roman" w:eastAsia="Times New Roman" w:hAnsi="Times New Roman" w:cs="Times New Roman"/>
                <w:color w:val="000000"/>
              </w:rPr>
              <w:t xml:space="preserve"> in the Eligibility Criteria</w:t>
            </w:r>
            <w:r w:rsidR="00957767" w:rsidRPr="00F66630">
              <w:rPr>
                <w:rFonts w:ascii="Times New Roman" w:eastAsia="Times New Roman" w:hAnsi="Times New Roman" w:cs="Times New Roman"/>
                <w:color w:val="000000"/>
              </w:rPr>
              <w:t xml:space="preserve"> </w:t>
            </w:r>
            <w:r w:rsidR="00917D7C" w:rsidRPr="00F66630">
              <w:rPr>
                <w:rFonts w:ascii="Times New Roman" w:eastAsia="Times New Roman" w:hAnsi="Times New Roman" w:cs="Times New Roman"/>
                <w:color w:val="000000"/>
              </w:rPr>
              <w:t>T</w:t>
            </w:r>
            <w:r w:rsidR="00957767" w:rsidRPr="00F66630">
              <w:rPr>
                <w:rFonts w:ascii="Times New Roman" w:eastAsia="Times New Roman" w:hAnsi="Times New Roman" w:cs="Times New Roman"/>
                <w:color w:val="000000"/>
              </w:rPr>
              <w:t>able</w:t>
            </w:r>
            <w:r w:rsidR="00FE7660" w:rsidRPr="00F66630">
              <w:rPr>
                <w:rFonts w:ascii="Times New Roman" w:eastAsia="Times New Roman" w:hAnsi="Times New Roman" w:cs="Times New Roman"/>
                <w:color w:val="000000"/>
              </w:rPr>
              <w:t xml:space="preserve">. The </w:t>
            </w:r>
            <w:r w:rsidR="007B4F09" w:rsidRPr="00F66630">
              <w:rPr>
                <w:rFonts w:ascii="Times New Roman" w:eastAsia="Times New Roman" w:hAnsi="Times New Roman" w:cs="Times New Roman"/>
                <w:color w:val="000000"/>
              </w:rPr>
              <w:t xml:space="preserve">approved budget shall include </w:t>
            </w:r>
            <w:bookmarkStart w:id="16" w:name="_Hlk523684535"/>
            <w:r w:rsidR="007B4F09" w:rsidRPr="00F66630">
              <w:rPr>
                <w:rFonts w:ascii="Times New Roman" w:eastAsia="Times New Roman" w:hAnsi="Times New Roman" w:cs="Times New Roman"/>
                <w:color w:val="000000"/>
              </w:rPr>
              <w:t>appropriations according to the functional/organizational and detailed economic classifications of expenditures.</w:t>
            </w:r>
            <w:bookmarkEnd w:id="16"/>
          </w:p>
          <w:p w14:paraId="7CE8392A" w14:textId="1246C3E3" w:rsidR="00886223" w:rsidRPr="00F66630" w:rsidRDefault="007B4F09" w:rsidP="00213F3A">
            <w:pPr>
              <w:spacing w:after="120"/>
              <w:rPr>
                <w:rFonts w:ascii="Times New Roman" w:eastAsia="Times New Roman" w:hAnsi="Times New Roman" w:cs="Times New Roman"/>
                <w:color w:val="000000"/>
              </w:rPr>
            </w:pPr>
            <w:r w:rsidRPr="00F66630">
              <w:rPr>
                <w:rFonts w:ascii="Times New Roman" w:eastAsia="Times New Roman" w:hAnsi="Times New Roman" w:cs="Times New Roman"/>
                <w:b/>
                <w:color w:val="000000"/>
              </w:rPr>
              <w:t>Annual state budget prepared under national Chart of Accounts (GFS compliant):</w:t>
            </w:r>
            <w:r w:rsidRPr="00F66630">
              <w:rPr>
                <w:rFonts w:ascii="Times New Roman" w:eastAsia="Times New Roman" w:hAnsi="Times New Roman" w:cs="Times New Roman"/>
                <w:color w:val="000000"/>
              </w:rPr>
              <w:t xml:space="preserve"> </w:t>
            </w:r>
            <w:bookmarkStart w:id="17" w:name="_Hlk514311500"/>
            <w:r w:rsidRPr="00F66630">
              <w:rPr>
                <w:rFonts w:ascii="Times New Roman" w:eastAsia="Times New Roman" w:hAnsi="Times New Roman" w:cs="Times New Roman"/>
                <w:color w:val="000000"/>
              </w:rPr>
              <w:t>The national Chart of Accounts (CoA) is the approved FAAC CoA/budget classification system</w:t>
            </w:r>
            <w:bookmarkEnd w:id="17"/>
            <w:r w:rsidRPr="00F66630">
              <w:rPr>
                <w:rFonts w:ascii="Times New Roman" w:eastAsia="Times New Roman" w:hAnsi="Times New Roman" w:cs="Times New Roman"/>
                <w:color w:val="000000"/>
              </w:rPr>
              <w:t>, domesticated to the State requirement in terms of elements without varying the structure and segments</w:t>
            </w:r>
            <w:r w:rsidR="00886223" w:rsidRPr="00F66630">
              <w:rPr>
                <w:rFonts w:ascii="Times New Roman" w:eastAsia="Times New Roman" w:hAnsi="Times New Roman" w:cs="Times New Roman"/>
                <w:color w:val="000000"/>
              </w:rPr>
              <w:t xml:space="preserve">. </w:t>
            </w:r>
          </w:p>
          <w:p w14:paraId="39EE23B9" w14:textId="031FA43C" w:rsidR="007B4F09" w:rsidRPr="00F66630" w:rsidRDefault="00886223" w:rsidP="00213F3A">
            <w:pPr>
              <w:spacing w:after="120"/>
              <w:rPr>
                <w:rFonts w:ascii="Times New Roman" w:eastAsia="Times New Roman" w:hAnsi="Times New Roman" w:cs="Times New Roman"/>
                <w:color w:val="000000"/>
              </w:rPr>
            </w:pPr>
            <w:r w:rsidRPr="00F66630">
              <w:rPr>
                <w:rFonts w:ascii="Times New Roman" w:eastAsia="Times New Roman" w:hAnsi="Times New Roman" w:cs="Times New Roman"/>
                <w:b/>
                <w:color w:val="000000"/>
              </w:rPr>
              <w:t xml:space="preserve">Audited financial statements: </w:t>
            </w:r>
            <w:r w:rsidRPr="00F66630">
              <w:rPr>
                <w:rFonts w:ascii="Times New Roman" w:eastAsia="Times New Roman" w:hAnsi="Times New Roman" w:cs="Times New Roman"/>
                <w:color w:val="000000"/>
              </w:rPr>
              <w:t xml:space="preserve">The annual audited financial statements should contain a complete set of financial statements including, </w:t>
            </w:r>
            <w:r w:rsidRPr="00F66630">
              <w:rPr>
                <w:rFonts w:ascii="Times New Roman" w:eastAsia="Times New Roman" w:hAnsi="Times New Roman" w:cs="Times New Roman"/>
                <w:b/>
                <w:bCs/>
                <w:color w:val="000000"/>
                <w:u w:val="single"/>
              </w:rPr>
              <w:t>at a minimum</w:t>
            </w:r>
            <w:r w:rsidRPr="00F66630">
              <w:rPr>
                <w:rFonts w:ascii="Times New Roman" w:eastAsia="Times New Roman" w:hAnsi="Times New Roman" w:cs="Times New Roman"/>
                <w:color w:val="000000"/>
              </w:rPr>
              <w:t xml:space="preserve">: the sources and uses of funds statements (or receipts and payments of funds statement); the appropriation for the year in review as well as the actual spending and balances against the appropriation; comparative actual expenditures of the preceding year; a summary statement of the state’s debt stock and debt servicing; accounting policies applied; and </w:t>
            </w:r>
            <w:r w:rsidR="004B6A30" w:rsidRPr="00F66630">
              <w:rPr>
                <w:rFonts w:ascii="Times New Roman" w:eastAsia="Times New Roman" w:hAnsi="Times New Roman" w:cs="Times New Roman"/>
                <w:color w:val="000000"/>
              </w:rPr>
              <w:t xml:space="preserve">all disclosure </w:t>
            </w:r>
            <w:r w:rsidRPr="00F66630">
              <w:rPr>
                <w:rFonts w:ascii="Times New Roman" w:eastAsia="Times New Roman" w:hAnsi="Times New Roman" w:cs="Times New Roman"/>
                <w:color w:val="000000"/>
              </w:rPr>
              <w:t>notes to the accounts</w:t>
            </w:r>
            <w:r w:rsidR="004B6A30" w:rsidRPr="00F66630">
              <w:rPr>
                <w:rFonts w:ascii="Times New Roman" w:eastAsia="Times New Roman" w:hAnsi="Times New Roman" w:cs="Times New Roman"/>
                <w:color w:val="000000"/>
              </w:rPr>
              <w:t xml:space="preserve"> required under the selected financial reporting framework</w:t>
            </w:r>
            <w:r w:rsidRPr="00F66630">
              <w:rPr>
                <w:rFonts w:ascii="Times New Roman" w:eastAsia="Times New Roman" w:hAnsi="Times New Roman" w:cs="Times New Roman"/>
                <w:color w:val="000000"/>
              </w:rPr>
              <w:t>.</w:t>
            </w:r>
            <w:r w:rsidR="00231633" w:rsidRPr="00F66630">
              <w:rPr>
                <w:rFonts w:ascii="Times New Roman" w:eastAsia="Times New Roman" w:hAnsi="Times New Roman" w:cs="Times New Roman"/>
                <w:color w:val="000000"/>
              </w:rPr>
              <w:t xml:space="preserve"> </w:t>
            </w:r>
          </w:p>
          <w:p w14:paraId="2569BC02" w14:textId="05BCD3A5" w:rsidR="00A9594C" w:rsidRPr="00F66630" w:rsidRDefault="00BF4333" w:rsidP="00213F3A">
            <w:pPr>
              <w:spacing w:after="120"/>
              <w:rPr>
                <w:rFonts w:ascii="Times New Roman" w:eastAsia="Times New Roman" w:hAnsi="Times New Roman" w:cs="Times New Roman"/>
                <w:color w:val="000000"/>
              </w:rPr>
            </w:pPr>
            <w:r w:rsidRPr="00F66630">
              <w:rPr>
                <w:rFonts w:ascii="Times New Roman" w:eastAsia="Times New Roman" w:hAnsi="Times New Roman" w:cs="Times New Roman"/>
                <w:b/>
                <w:color w:val="000000"/>
              </w:rPr>
              <w:t>International Public Sector Accounting Standards (IPSAS).</w:t>
            </w:r>
            <w:r w:rsidRPr="00F66630">
              <w:rPr>
                <w:b/>
              </w:rPr>
              <w:t xml:space="preserve"> </w:t>
            </w:r>
            <w:r w:rsidR="007B4F09" w:rsidRPr="00F66630">
              <w:rPr>
                <w:rFonts w:ascii="Times New Roman" w:eastAsia="Times New Roman" w:hAnsi="Times New Roman" w:cs="Times New Roman"/>
                <w:b/>
                <w:color w:val="000000"/>
              </w:rPr>
              <w:t xml:space="preserve">IPSAS-compliant annual audited financial statements: </w:t>
            </w:r>
            <w:r w:rsidR="00947EC1" w:rsidRPr="00F66630">
              <w:rPr>
                <w:rFonts w:ascii="Times New Roman" w:eastAsia="Times New Roman" w:hAnsi="Times New Roman" w:cs="Times New Roman"/>
                <w:color w:val="000000"/>
              </w:rPr>
              <w:t>At the minimum, Part 1 of the IPSAS Cash Basis of reporting should be applied by each state.</w:t>
            </w:r>
          </w:p>
        </w:tc>
      </w:tr>
      <w:tr w:rsidR="00886223" w:rsidRPr="00F66630" w14:paraId="2BF20E0B" w14:textId="77777777" w:rsidTr="00EC77D6">
        <w:tc>
          <w:tcPr>
            <w:tcW w:w="5000" w:type="pct"/>
            <w:gridSpan w:val="2"/>
            <w:shd w:val="clear" w:color="auto" w:fill="FDE9D9" w:themeFill="accent6" w:themeFillTint="33"/>
          </w:tcPr>
          <w:p w14:paraId="2550E871" w14:textId="274C8AAF" w:rsidR="00886223" w:rsidRPr="00F66630" w:rsidRDefault="007B4F09" w:rsidP="00395C93">
            <w:pPr>
              <w:rPr>
                <w:rFonts w:ascii="Times New Roman" w:hAnsi="Times New Roman" w:cs="Times New Roman"/>
                <w:b/>
                <w:i/>
              </w:rPr>
            </w:pPr>
            <w:r w:rsidRPr="00F66630">
              <w:rPr>
                <w:rFonts w:ascii="Times New Roman" w:hAnsi="Times New Roman" w:cs="Times New Roman"/>
                <w:b/>
                <w:i/>
              </w:rPr>
              <w:t xml:space="preserve">Data Source and </w:t>
            </w:r>
            <w:r w:rsidR="00886223" w:rsidRPr="00F66630">
              <w:rPr>
                <w:rFonts w:ascii="Times New Roman" w:hAnsi="Times New Roman" w:cs="Times New Roman"/>
                <w:b/>
                <w:i/>
              </w:rPr>
              <w:t xml:space="preserve">Procedures to </w:t>
            </w:r>
            <w:r w:rsidR="00AA3D4A" w:rsidRPr="00F66630">
              <w:rPr>
                <w:rFonts w:ascii="Times New Roman" w:hAnsi="Times New Roman" w:cs="Times New Roman"/>
                <w:b/>
                <w:i/>
              </w:rPr>
              <w:t>assess</w:t>
            </w:r>
            <w:r w:rsidR="00886223" w:rsidRPr="00F66630">
              <w:rPr>
                <w:rFonts w:ascii="Times New Roman" w:hAnsi="Times New Roman" w:cs="Times New Roman"/>
                <w:b/>
                <w:i/>
              </w:rPr>
              <w:t xml:space="preserve"> achievement</w:t>
            </w:r>
            <w:r w:rsidR="001D0A1C" w:rsidRPr="00F66630">
              <w:rPr>
                <w:rFonts w:ascii="Times New Roman" w:hAnsi="Times New Roman" w:cs="Times New Roman"/>
                <w:b/>
                <w:i/>
              </w:rPr>
              <w:t xml:space="preserve"> (2019 APA onwards)</w:t>
            </w:r>
          </w:p>
        </w:tc>
      </w:tr>
      <w:tr w:rsidR="007B4F09" w:rsidRPr="00F66630" w14:paraId="589118DE" w14:textId="77777777" w:rsidTr="00EC77D6">
        <w:tc>
          <w:tcPr>
            <w:tcW w:w="5000" w:type="pct"/>
            <w:gridSpan w:val="2"/>
          </w:tcPr>
          <w:p w14:paraId="0EF4F2D2" w14:textId="198D4F6D" w:rsidR="007B4F09" w:rsidRPr="00F66630" w:rsidRDefault="007B4F09" w:rsidP="00395C93">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6AB299BF" w14:textId="29967C91" w:rsidR="00DE4E0B" w:rsidRPr="00F66630" w:rsidRDefault="007B4F09" w:rsidP="00E36965">
            <w:pPr>
              <w:pStyle w:val="CommentText"/>
              <w:numPr>
                <w:ilvl w:val="0"/>
                <w:numId w:val="29"/>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official website(s)</w:t>
            </w:r>
            <w:r w:rsidR="00EB772D" w:rsidRPr="00F66630">
              <w:rPr>
                <w:rFonts w:ascii="Times New Roman" w:hAnsi="Times New Roman" w:cs="Times New Roman"/>
                <w:sz w:val="22"/>
                <w:szCs w:val="22"/>
              </w:rPr>
              <w:t xml:space="preserve">: </w:t>
            </w:r>
            <w:r w:rsidRPr="00F66630">
              <w:rPr>
                <w:rFonts w:ascii="Times New Roman" w:hAnsi="Times New Roman" w:cs="Times New Roman"/>
                <w:sz w:val="22"/>
                <w:szCs w:val="22"/>
              </w:rPr>
              <w:t xml:space="preserve">the </w:t>
            </w:r>
            <w:r w:rsidR="00EB772D" w:rsidRPr="00F66630">
              <w:rPr>
                <w:rFonts w:ascii="Times New Roman" w:hAnsi="Times New Roman" w:cs="Times New Roman"/>
                <w:sz w:val="22"/>
                <w:szCs w:val="22"/>
              </w:rPr>
              <w:t xml:space="preserve">website </w:t>
            </w:r>
            <w:r w:rsidRPr="00F66630">
              <w:rPr>
                <w:rFonts w:ascii="Times New Roman" w:hAnsi="Times New Roman" w:cs="Times New Roman"/>
                <w:sz w:val="22"/>
                <w:szCs w:val="22"/>
              </w:rPr>
              <w:t xml:space="preserve">of the Office of the Auditor-General for States, the </w:t>
            </w:r>
            <w:r w:rsidR="00EB772D" w:rsidRPr="00F66630">
              <w:rPr>
                <w:rFonts w:ascii="Times New Roman" w:hAnsi="Times New Roman" w:cs="Times New Roman"/>
                <w:sz w:val="22"/>
                <w:szCs w:val="22"/>
              </w:rPr>
              <w:t>website</w:t>
            </w:r>
            <w:r w:rsidRPr="00F66630">
              <w:rPr>
                <w:rFonts w:ascii="Times New Roman" w:hAnsi="Times New Roman" w:cs="Times New Roman"/>
                <w:sz w:val="22"/>
                <w:szCs w:val="22"/>
              </w:rPr>
              <w:t xml:space="preserve"> of the State Government</w:t>
            </w:r>
            <w:r w:rsidR="00EB772D" w:rsidRPr="00F66630">
              <w:rPr>
                <w:rFonts w:ascii="Times New Roman" w:hAnsi="Times New Roman" w:cs="Times New Roman"/>
                <w:sz w:val="22"/>
                <w:szCs w:val="22"/>
              </w:rPr>
              <w:t xml:space="preserve">, the website of </w:t>
            </w:r>
            <w:r w:rsidRPr="00F66630">
              <w:rPr>
                <w:rFonts w:ascii="Times New Roman" w:hAnsi="Times New Roman" w:cs="Times New Roman"/>
                <w:sz w:val="22"/>
                <w:szCs w:val="22"/>
              </w:rPr>
              <w:t>relevant Min</w:t>
            </w:r>
            <w:r w:rsidR="00B238E8" w:rsidRPr="00F66630">
              <w:rPr>
                <w:rFonts w:ascii="Times New Roman" w:hAnsi="Times New Roman" w:cs="Times New Roman"/>
                <w:sz w:val="22"/>
                <w:szCs w:val="22"/>
              </w:rPr>
              <w:t>istries such as Finance, Budget</w:t>
            </w:r>
            <w:r w:rsidRPr="00F66630">
              <w:rPr>
                <w:rFonts w:ascii="Times New Roman" w:hAnsi="Times New Roman" w:cs="Times New Roman"/>
                <w:sz w:val="22"/>
                <w:szCs w:val="22"/>
              </w:rPr>
              <w:t xml:space="preserve"> an</w:t>
            </w:r>
            <w:r w:rsidR="00EB772D" w:rsidRPr="00F66630">
              <w:rPr>
                <w:rFonts w:ascii="Times New Roman" w:hAnsi="Times New Roman" w:cs="Times New Roman"/>
                <w:sz w:val="22"/>
                <w:szCs w:val="22"/>
              </w:rPr>
              <w:t>d Economic Planning,</w:t>
            </w:r>
            <w:r w:rsidRPr="00F66630">
              <w:rPr>
                <w:rFonts w:ascii="Times New Roman" w:hAnsi="Times New Roman" w:cs="Times New Roman"/>
                <w:sz w:val="22"/>
                <w:szCs w:val="22"/>
              </w:rPr>
              <w:t xml:space="preserve"> the website</w:t>
            </w:r>
            <w:r w:rsidR="00EB772D" w:rsidRPr="00F66630">
              <w:rPr>
                <w:rFonts w:ascii="Times New Roman" w:hAnsi="Times New Roman" w:cs="Times New Roman"/>
                <w:sz w:val="22"/>
                <w:szCs w:val="22"/>
              </w:rPr>
              <w:t xml:space="preserve"> of the State House of Assembly</w:t>
            </w:r>
          </w:p>
          <w:p w14:paraId="59EAE1BB" w14:textId="77777777" w:rsidR="00A9594C" w:rsidRPr="00F66630" w:rsidRDefault="00456642" w:rsidP="00E36965">
            <w:pPr>
              <w:pStyle w:val="CommentText"/>
              <w:numPr>
                <w:ilvl w:val="0"/>
                <w:numId w:val="29"/>
              </w:numPr>
              <w:rPr>
                <w:rFonts w:ascii="Times New Roman" w:hAnsi="Times New Roman" w:cs="Times New Roman"/>
                <w:sz w:val="22"/>
                <w:szCs w:val="22"/>
              </w:rPr>
            </w:pPr>
            <w:r w:rsidRPr="00F66630">
              <w:rPr>
                <w:rFonts w:ascii="Times New Roman" w:hAnsi="Times New Roman" w:cs="Times New Roman"/>
                <w:b/>
                <w:sz w:val="22"/>
                <w:szCs w:val="22"/>
              </w:rPr>
              <w:t>Federal Ministry of Finance:</w:t>
            </w:r>
            <w:r w:rsidRPr="00F66630">
              <w:rPr>
                <w:rFonts w:ascii="Times New Roman" w:hAnsi="Times New Roman" w:cs="Times New Roman"/>
                <w:sz w:val="22"/>
                <w:szCs w:val="22"/>
              </w:rPr>
              <w:t xml:space="preserve"> National Chart of Accounts </w:t>
            </w:r>
          </w:p>
          <w:p w14:paraId="2E56F210" w14:textId="28A841A3" w:rsidR="004A7E0D" w:rsidRPr="00F66630" w:rsidRDefault="004A7E0D" w:rsidP="004A7E0D">
            <w:pPr>
              <w:pStyle w:val="CommentText"/>
              <w:ind w:left="360"/>
              <w:rPr>
                <w:rFonts w:ascii="Times New Roman" w:hAnsi="Times New Roman" w:cs="Times New Roman"/>
                <w:sz w:val="22"/>
                <w:szCs w:val="22"/>
              </w:rPr>
            </w:pPr>
          </w:p>
        </w:tc>
      </w:tr>
      <w:tr w:rsidR="00886223" w:rsidRPr="00F66630" w14:paraId="06CB0077" w14:textId="77777777" w:rsidTr="00176CC2">
        <w:trPr>
          <w:trHeight w:val="530"/>
        </w:trPr>
        <w:tc>
          <w:tcPr>
            <w:tcW w:w="5000" w:type="pct"/>
            <w:gridSpan w:val="2"/>
          </w:tcPr>
          <w:p w14:paraId="4972A6F5" w14:textId="33D8811B" w:rsidR="007B4F09" w:rsidRPr="00F66630" w:rsidRDefault="007B4F09" w:rsidP="00395C93">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6B8B1F41" w14:textId="77777777" w:rsidR="004A7E0D" w:rsidRPr="00F66630" w:rsidRDefault="004A7E0D" w:rsidP="00395C93">
            <w:pPr>
              <w:pStyle w:val="CommentText"/>
              <w:rPr>
                <w:rFonts w:ascii="Times New Roman" w:hAnsi="Times New Roman" w:cs="Times New Roman"/>
                <w:sz w:val="22"/>
                <w:szCs w:val="22"/>
              </w:rPr>
            </w:pPr>
          </w:p>
          <w:p w14:paraId="3655E001" w14:textId="22E2A2C5" w:rsidR="00886223" w:rsidRPr="00F66630" w:rsidRDefault="00886223" w:rsidP="00395C93">
            <w:pPr>
              <w:pStyle w:val="CommentText"/>
              <w:rPr>
                <w:rFonts w:ascii="Times New Roman" w:hAnsi="Times New Roman" w:cs="Times New Roman"/>
                <w:sz w:val="22"/>
                <w:szCs w:val="22"/>
              </w:rPr>
            </w:pPr>
            <w:r w:rsidRPr="00F66630">
              <w:rPr>
                <w:rFonts w:ascii="Times New Roman" w:hAnsi="Times New Roman" w:cs="Times New Roman"/>
                <w:sz w:val="22"/>
                <w:szCs w:val="22"/>
              </w:rPr>
              <w:t xml:space="preserve">The IVA will review information published online by the State before and up to the deadline date for the online publication of the documents specified for each </w:t>
            </w:r>
            <w:r w:rsidR="003B101E" w:rsidRPr="00F66630">
              <w:rPr>
                <w:rFonts w:ascii="Times New Roman" w:hAnsi="Times New Roman" w:cs="Times New Roman"/>
                <w:sz w:val="22"/>
                <w:szCs w:val="22"/>
              </w:rPr>
              <w:t>criterion</w:t>
            </w:r>
            <w:r w:rsidRPr="00F66630">
              <w:rPr>
                <w:rFonts w:ascii="Times New Roman" w:hAnsi="Times New Roman" w:cs="Times New Roman"/>
                <w:sz w:val="22"/>
                <w:szCs w:val="22"/>
              </w:rPr>
              <w:t>, and carry</w:t>
            </w:r>
            <w:r w:rsidR="00395C93" w:rsidRPr="00F66630">
              <w:rPr>
                <w:rFonts w:ascii="Times New Roman" w:hAnsi="Times New Roman" w:cs="Times New Roman"/>
                <w:sz w:val="22"/>
                <w:szCs w:val="22"/>
              </w:rPr>
              <w:t xml:space="preserve"> out the following:</w:t>
            </w:r>
          </w:p>
          <w:p w14:paraId="55910C15" w14:textId="38895553" w:rsidR="00395C93" w:rsidRPr="00F66630" w:rsidRDefault="00395C93" w:rsidP="00395C93">
            <w:pPr>
              <w:pStyle w:val="CommentText"/>
              <w:rPr>
                <w:rFonts w:ascii="Times New Roman" w:hAnsi="Times New Roman" w:cs="Times New Roman"/>
                <w:sz w:val="22"/>
                <w:szCs w:val="22"/>
              </w:rPr>
            </w:pPr>
          </w:p>
          <w:p w14:paraId="079B26E0" w14:textId="01E376E4" w:rsidR="00395C93" w:rsidRPr="00F66630" w:rsidRDefault="00395C93" w:rsidP="00395C93">
            <w:pPr>
              <w:pStyle w:val="CommentText"/>
              <w:rPr>
                <w:rFonts w:ascii="Times New Roman" w:hAnsi="Times New Roman" w:cs="Times New Roman"/>
                <w:sz w:val="22"/>
                <w:szCs w:val="22"/>
              </w:rPr>
            </w:pPr>
            <w:r w:rsidRPr="00F66630">
              <w:rPr>
                <w:rFonts w:ascii="Times New Roman" w:hAnsi="Times New Roman" w:cs="Times New Roman"/>
                <w:sz w:val="22"/>
                <w:szCs w:val="22"/>
              </w:rPr>
              <w:t>Eligibility Criteria Part 1</w:t>
            </w:r>
            <w:r w:rsidR="0077414C" w:rsidRPr="00F66630">
              <w:rPr>
                <w:rFonts w:ascii="Times New Roman" w:hAnsi="Times New Roman" w:cs="Times New Roman"/>
                <w:sz w:val="22"/>
                <w:szCs w:val="22"/>
              </w:rPr>
              <w:t xml:space="preserve"> on annual state budget</w:t>
            </w:r>
            <w:r w:rsidRPr="00F66630">
              <w:rPr>
                <w:rFonts w:ascii="Times New Roman" w:hAnsi="Times New Roman" w:cs="Times New Roman"/>
                <w:sz w:val="22"/>
                <w:szCs w:val="22"/>
              </w:rPr>
              <w:t>:</w:t>
            </w:r>
          </w:p>
          <w:p w14:paraId="753D0824" w14:textId="3EC11658" w:rsidR="00886223" w:rsidRPr="00F66630" w:rsidRDefault="0088622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 xml:space="preserve">Download the Annual State Budget from the </w:t>
            </w:r>
            <w:r w:rsidR="00EB772D" w:rsidRPr="00F66630">
              <w:rPr>
                <w:rFonts w:ascii="Times New Roman" w:hAnsi="Times New Roman" w:cs="Times New Roman"/>
                <w:sz w:val="22"/>
                <w:szCs w:val="22"/>
              </w:rPr>
              <w:t>State official website</w:t>
            </w:r>
          </w:p>
          <w:p w14:paraId="0D3F277D" w14:textId="39963306" w:rsidR="00EC77D6" w:rsidRPr="00F66630" w:rsidRDefault="00EC77D6"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Confirm that the budget</w:t>
            </w:r>
            <w:r w:rsidRPr="00F66630">
              <w:rPr>
                <w:sz w:val="22"/>
                <w:szCs w:val="22"/>
              </w:rPr>
              <w:t xml:space="preserve"> </w:t>
            </w:r>
            <w:r w:rsidRPr="00F66630">
              <w:rPr>
                <w:rFonts w:ascii="Times New Roman" w:hAnsi="Times New Roman" w:cs="Times New Roman"/>
                <w:sz w:val="22"/>
                <w:szCs w:val="22"/>
              </w:rPr>
              <w:t>includes appropriations according to the functional/organizational and detailed economic classifications of expenditures.</w:t>
            </w:r>
          </w:p>
          <w:p w14:paraId="71D12559" w14:textId="4368DB0C" w:rsidR="00395C93" w:rsidRPr="00F66630" w:rsidRDefault="0088622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 xml:space="preserve">Confirm the budget has been finalized and passed into law </w:t>
            </w:r>
            <w:r w:rsidRPr="00F66630">
              <w:rPr>
                <w:rFonts w:ascii="Times New Roman" w:hAnsi="Times New Roman" w:cs="Times New Roman"/>
                <w:i/>
                <w:sz w:val="22"/>
                <w:szCs w:val="22"/>
              </w:rPr>
              <w:t>(</w:t>
            </w:r>
            <w:proofErr w:type="gramStart"/>
            <w:r w:rsidRPr="00F66630">
              <w:rPr>
                <w:rFonts w:ascii="Times New Roman" w:hAnsi="Times New Roman" w:cs="Times New Roman"/>
                <w:i/>
                <w:sz w:val="22"/>
                <w:szCs w:val="22"/>
              </w:rPr>
              <w:t>i.e.</w:t>
            </w:r>
            <w:proofErr w:type="gramEnd"/>
            <w:r w:rsidRPr="00F66630">
              <w:rPr>
                <w:rFonts w:ascii="Times New Roman" w:hAnsi="Times New Roman" w:cs="Times New Roman"/>
                <w:i/>
                <w:sz w:val="22"/>
                <w:szCs w:val="22"/>
              </w:rPr>
              <w:t xml:space="preserve"> obtain evidence of assent by the Governor)</w:t>
            </w:r>
          </w:p>
          <w:p w14:paraId="66320FDE" w14:textId="7C35997D" w:rsidR="00395C93" w:rsidRPr="00F66630" w:rsidRDefault="00395C9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For the 2019 APA, confirm that the 2020 approved annual budget is publ</w:t>
            </w:r>
            <w:r w:rsidR="00EB772D" w:rsidRPr="00F66630">
              <w:rPr>
                <w:rFonts w:ascii="Times New Roman" w:hAnsi="Times New Roman" w:cs="Times New Roman"/>
                <w:sz w:val="22"/>
                <w:szCs w:val="22"/>
              </w:rPr>
              <w:t>ished online by 31 January 2020 on the State official website.</w:t>
            </w:r>
          </w:p>
          <w:p w14:paraId="5EBF266D" w14:textId="5CE80B08" w:rsidR="00395C93" w:rsidRPr="00F66630" w:rsidRDefault="00395C93" w:rsidP="00395C93">
            <w:pPr>
              <w:pStyle w:val="CommentText"/>
              <w:ind w:left="360"/>
              <w:rPr>
                <w:rFonts w:ascii="Times New Roman" w:hAnsi="Times New Roman" w:cs="Times New Roman"/>
                <w:sz w:val="22"/>
                <w:szCs w:val="22"/>
              </w:rPr>
            </w:pPr>
            <w:r w:rsidRPr="00F66630">
              <w:rPr>
                <w:rFonts w:ascii="Times New Roman" w:hAnsi="Times New Roman" w:cs="Times New Roman"/>
                <w:sz w:val="22"/>
                <w:szCs w:val="22"/>
              </w:rPr>
              <w:t>For 2020 and 2021 APA:</w:t>
            </w:r>
          </w:p>
          <w:p w14:paraId="34A29B59" w14:textId="38489B04" w:rsidR="00886223" w:rsidRPr="00F66630" w:rsidRDefault="0088622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Obtain a copy of the National Chart of Accounts from the Federal Ministry of Finance</w:t>
            </w:r>
          </w:p>
          <w:p w14:paraId="5D2E83E4" w14:textId="4201E8EF" w:rsidR="00886223" w:rsidRPr="00F66630" w:rsidRDefault="0088622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 xml:space="preserve">Compare the budget to the NCOA and record any significant differences in structure, </w:t>
            </w:r>
            <w:proofErr w:type="gramStart"/>
            <w:r w:rsidRPr="00F66630">
              <w:rPr>
                <w:rFonts w:ascii="Times New Roman" w:hAnsi="Times New Roman" w:cs="Times New Roman"/>
                <w:sz w:val="22"/>
                <w:szCs w:val="22"/>
              </w:rPr>
              <w:t>coding</w:t>
            </w:r>
            <w:proofErr w:type="gramEnd"/>
            <w:r w:rsidRPr="00F66630">
              <w:rPr>
                <w:rFonts w:ascii="Times New Roman" w:hAnsi="Times New Roman" w:cs="Times New Roman"/>
                <w:sz w:val="22"/>
                <w:szCs w:val="22"/>
              </w:rPr>
              <w:t xml:space="preserve"> and segmentation. The </w:t>
            </w:r>
            <w:r w:rsidR="00EC77D6" w:rsidRPr="00F66630">
              <w:rPr>
                <w:rFonts w:ascii="Times New Roman" w:hAnsi="Times New Roman" w:cs="Times New Roman"/>
                <w:sz w:val="22"/>
                <w:szCs w:val="22"/>
              </w:rPr>
              <w:t>N</w:t>
            </w:r>
            <w:r w:rsidRPr="00F66630">
              <w:rPr>
                <w:rFonts w:ascii="Times New Roman" w:hAnsi="Times New Roman" w:cs="Times New Roman"/>
                <w:sz w:val="22"/>
                <w:szCs w:val="22"/>
              </w:rPr>
              <w:t>ational Chart of Accounts (</w:t>
            </w:r>
            <w:proofErr w:type="spellStart"/>
            <w:r w:rsidR="00EC77D6" w:rsidRPr="00F66630">
              <w:rPr>
                <w:rFonts w:ascii="Times New Roman" w:hAnsi="Times New Roman" w:cs="Times New Roman"/>
                <w:sz w:val="22"/>
                <w:szCs w:val="22"/>
              </w:rPr>
              <w:t>N</w:t>
            </w:r>
            <w:r w:rsidRPr="00F66630">
              <w:rPr>
                <w:rFonts w:ascii="Times New Roman" w:hAnsi="Times New Roman" w:cs="Times New Roman"/>
                <w:sz w:val="22"/>
                <w:szCs w:val="22"/>
              </w:rPr>
              <w:t>CoA</w:t>
            </w:r>
            <w:proofErr w:type="spellEnd"/>
            <w:r w:rsidRPr="00F66630">
              <w:rPr>
                <w:rFonts w:ascii="Times New Roman" w:hAnsi="Times New Roman" w:cs="Times New Roman"/>
                <w:sz w:val="22"/>
                <w:szCs w:val="22"/>
              </w:rPr>
              <w:t>) to be used for comparison is the approved FAAC CoA/budget classification system. It is expected to be domesticated to the State’s requirements in terms of elements without varying the structure and segments. Confirm whether this has been done.</w:t>
            </w:r>
          </w:p>
          <w:p w14:paraId="5C86A482" w14:textId="5E51ECE4" w:rsidR="00886223" w:rsidRPr="00F66630" w:rsidRDefault="0088622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 xml:space="preserve">Conclude on whether the State Budget is prepared under the </w:t>
            </w:r>
            <w:proofErr w:type="spellStart"/>
            <w:r w:rsidRPr="00F66630">
              <w:rPr>
                <w:rFonts w:ascii="Times New Roman" w:hAnsi="Times New Roman" w:cs="Times New Roman"/>
                <w:sz w:val="22"/>
                <w:szCs w:val="22"/>
              </w:rPr>
              <w:t>NC</w:t>
            </w:r>
            <w:r w:rsidR="00EC77D6" w:rsidRPr="00F66630">
              <w:rPr>
                <w:rFonts w:ascii="Times New Roman" w:hAnsi="Times New Roman" w:cs="Times New Roman"/>
                <w:sz w:val="22"/>
                <w:szCs w:val="22"/>
              </w:rPr>
              <w:t>o</w:t>
            </w:r>
            <w:r w:rsidRPr="00F66630">
              <w:rPr>
                <w:rFonts w:ascii="Times New Roman" w:hAnsi="Times New Roman" w:cs="Times New Roman"/>
                <w:sz w:val="22"/>
                <w:szCs w:val="22"/>
              </w:rPr>
              <w:t>A</w:t>
            </w:r>
            <w:proofErr w:type="spellEnd"/>
            <w:r w:rsidRPr="00F66630">
              <w:rPr>
                <w:rFonts w:ascii="Times New Roman" w:hAnsi="Times New Roman" w:cs="Times New Roman"/>
                <w:sz w:val="22"/>
                <w:szCs w:val="22"/>
              </w:rPr>
              <w:t xml:space="preserve">, or whether there are any significant differences. </w:t>
            </w:r>
            <w:proofErr w:type="gramStart"/>
            <w:r w:rsidRPr="00F66630">
              <w:rPr>
                <w:rFonts w:ascii="Times New Roman" w:hAnsi="Times New Roman" w:cs="Times New Roman"/>
                <w:sz w:val="22"/>
                <w:szCs w:val="22"/>
              </w:rPr>
              <w:t>In particular, confirm</w:t>
            </w:r>
            <w:proofErr w:type="gramEnd"/>
            <w:r w:rsidRPr="00F66630">
              <w:rPr>
                <w:rFonts w:ascii="Times New Roman" w:hAnsi="Times New Roman" w:cs="Times New Roman"/>
                <w:sz w:val="22"/>
                <w:szCs w:val="22"/>
              </w:rPr>
              <w:t xml:space="preserve"> that the State Budget includes appropriations according to the functional/organizational and detailed economic classifications of expenditures</w:t>
            </w:r>
            <w:r w:rsidR="00EC77D6" w:rsidRPr="00F66630">
              <w:rPr>
                <w:rFonts w:ascii="Times New Roman" w:hAnsi="Times New Roman" w:cs="Times New Roman"/>
                <w:sz w:val="22"/>
                <w:szCs w:val="22"/>
              </w:rPr>
              <w:t xml:space="preserve"> set out in the </w:t>
            </w:r>
            <w:proofErr w:type="spellStart"/>
            <w:r w:rsidR="00EC77D6" w:rsidRPr="00F66630">
              <w:rPr>
                <w:rFonts w:ascii="Times New Roman" w:hAnsi="Times New Roman" w:cs="Times New Roman"/>
                <w:sz w:val="22"/>
                <w:szCs w:val="22"/>
              </w:rPr>
              <w:t>NCoA</w:t>
            </w:r>
            <w:proofErr w:type="spellEnd"/>
            <w:r w:rsidRPr="00F66630">
              <w:rPr>
                <w:rFonts w:ascii="Times New Roman" w:hAnsi="Times New Roman" w:cs="Times New Roman"/>
                <w:sz w:val="22"/>
                <w:szCs w:val="22"/>
              </w:rPr>
              <w:t>.</w:t>
            </w:r>
          </w:p>
          <w:p w14:paraId="4EC636AA" w14:textId="7705BE21" w:rsidR="00395C93" w:rsidRPr="00F66630" w:rsidRDefault="00395C9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For the 2020 APA, confirm that the 2021 approved annual budget has been prepared under the NCOA and is publ</w:t>
            </w:r>
            <w:r w:rsidR="00EB772D" w:rsidRPr="00F66630">
              <w:rPr>
                <w:rFonts w:ascii="Times New Roman" w:hAnsi="Times New Roman" w:cs="Times New Roman"/>
                <w:sz w:val="22"/>
                <w:szCs w:val="22"/>
              </w:rPr>
              <w:t>ished online by 31 January 2021 on the State official website.</w:t>
            </w:r>
          </w:p>
          <w:p w14:paraId="252BE742" w14:textId="69F6E6C4" w:rsidR="00395C93" w:rsidRPr="00F66630" w:rsidRDefault="00395C93" w:rsidP="00E36965">
            <w:pPr>
              <w:pStyle w:val="CommentText"/>
              <w:numPr>
                <w:ilvl w:val="0"/>
                <w:numId w:val="25"/>
              </w:numPr>
              <w:rPr>
                <w:rFonts w:ascii="Times New Roman" w:hAnsi="Times New Roman" w:cs="Times New Roman"/>
                <w:sz w:val="22"/>
                <w:szCs w:val="22"/>
              </w:rPr>
            </w:pPr>
            <w:r w:rsidRPr="00F66630">
              <w:rPr>
                <w:rFonts w:ascii="Times New Roman" w:hAnsi="Times New Roman" w:cs="Times New Roman"/>
                <w:sz w:val="22"/>
                <w:szCs w:val="22"/>
              </w:rPr>
              <w:t>For the 2021 APA, confirm that the 2022 approved annual budget has been prepared under the NCOA and is publ</w:t>
            </w:r>
            <w:r w:rsidR="00EB772D" w:rsidRPr="00F66630">
              <w:rPr>
                <w:rFonts w:ascii="Times New Roman" w:hAnsi="Times New Roman" w:cs="Times New Roman"/>
                <w:sz w:val="22"/>
                <w:szCs w:val="22"/>
              </w:rPr>
              <w:t>ished online by 31 January 2022 on the State official website.</w:t>
            </w:r>
          </w:p>
          <w:p w14:paraId="13CCFB9B" w14:textId="683ED8D1" w:rsidR="00395C93" w:rsidRPr="00F66630" w:rsidRDefault="00395C93" w:rsidP="00395C93">
            <w:pPr>
              <w:rPr>
                <w:rFonts w:ascii="Times New Roman" w:hAnsi="Times New Roman" w:cs="Times New Roman"/>
              </w:rPr>
            </w:pPr>
          </w:p>
          <w:p w14:paraId="4E10AB1B" w14:textId="4CBC7894" w:rsidR="00395C93" w:rsidRPr="00F66630" w:rsidRDefault="00395C93" w:rsidP="00395C93">
            <w:pPr>
              <w:pStyle w:val="CommentText"/>
              <w:rPr>
                <w:rFonts w:ascii="Times New Roman" w:hAnsi="Times New Roman" w:cs="Times New Roman"/>
                <w:sz w:val="22"/>
                <w:szCs w:val="22"/>
              </w:rPr>
            </w:pPr>
            <w:r w:rsidRPr="00F66630">
              <w:rPr>
                <w:rFonts w:ascii="Times New Roman" w:hAnsi="Times New Roman" w:cs="Times New Roman"/>
                <w:sz w:val="22"/>
                <w:szCs w:val="22"/>
              </w:rPr>
              <w:t>Eligibility Criteria Part 2</w:t>
            </w:r>
            <w:r w:rsidR="0077414C" w:rsidRPr="00F66630">
              <w:rPr>
                <w:rFonts w:ascii="Times New Roman" w:hAnsi="Times New Roman" w:cs="Times New Roman"/>
                <w:sz w:val="22"/>
                <w:szCs w:val="22"/>
              </w:rPr>
              <w:t xml:space="preserve"> on </w:t>
            </w:r>
            <w:r w:rsidR="0077414C" w:rsidRPr="00F66630">
              <w:rPr>
                <w:rFonts w:ascii="Times New Roman" w:eastAsia="Calibri" w:hAnsi="Times New Roman" w:cs="Times New Roman"/>
                <w:sz w:val="22"/>
                <w:szCs w:val="22"/>
              </w:rPr>
              <w:t>audited financial statement</w:t>
            </w:r>
            <w:r w:rsidRPr="00F66630">
              <w:rPr>
                <w:rFonts w:ascii="Times New Roman" w:hAnsi="Times New Roman" w:cs="Times New Roman"/>
                <w:sz w:val="22"/>
                <w:szCs w:val="22"/>
              </w:rPr>
              <w:t>:</w:t>
            </w:r>
          </w:p>
          <w:p w14:paraId="6B729169" w14:textId="5E587623" w:rsidR="00886223" w:rsidRPr="00F66630" w:rsidRDefault="00886223" w:rsidP="00E36965">
            <w:pPr>
              <w:pStyle w:val="ListParagraph"/>
              <w:numPr>
                <w:ilvl w:val="0"/>
                <w:numId w:val="26"/>
              </w:numPr>
              <w:rPr>
                <w:rFonts w:ascii="Times New Roman" w:hAnsi="Times New Roman" w:cs="Times New Roman"/>
              </w:rPr>
            </w:pPr>
            <w:r w:rsidRPr="00F66630">
              <w:rPr>
                <w:rFonts w:ascii="Times New Roman" w:hAnsi="Times New Roman" w:cs="Times New Roman"/>
              </w:rPr>
              <w:t xml:space="preserve">Download the audited Financial Statements for the year under assessment </w:t>
            </w:r>
            <w:r w:rsidR="00EB772D" w:rsidRPr="00F66630">
              <w:rPr>
                <w:rFonts w:ascii="Times New Roman" w:hAnsi="Times New Roman" w:cs="Times New Roman"/>
              </w:rPr>
              <w:t>from the State official website</w:t>
            </w:r>
          </w:p>
          <w:p w14:paraId="2C7BD43C" w14:textId="1AF0A59D" w:rsidR="00886223" w:rsidRPr="00F66630" w:rsidRDefault="00886223"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Confirm whether the Statement of Responsibilities, the Accounting Policies Note and the Audit Certificate all specify the financial reporting framework under which the Financial Statements were prepared.</w:t>
            </w:r>
          </w:p>
          <w:p w14:paraId="4D678041" w14:textId="77777777" w:rsidR="00886223" w:rsidRPr="00F66630" w:rsidRDefault="00886223"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 xml:space="preserve">Where the reporting framework is stated consistently across all three documents, confirm whether the State has applied International Public Sector Accounting Standards - (Cash or Accrual). </w:t>
            </w:r>
          </w:p>
          <w:p w14:paraId="536634BE" w14:textId="4AA3923B" w:rsidR="00886223" w:rsidRPr="00F66630" w:rsidRDefault="00886223"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For the</w:t>
            </w:r>
            <w:r w:rsidR="00AE583B" w:rsidRPr="00F66630">
              <w:rPr>
                <w:rFonts w:ascii="Times New Roman" w:hAnsi="Times New Roman" w:cs="Times New Roman"/>
                <w:sz w:val="22"/>
                <w:szCs w:val="22"/>
              </w:rPr>
              <w:t xml:space="preserve"> 2019</w:t>
            </w:r>
            <w:r w:rsidRPr="00F66630">
              <w:rPr>
                <w:rFonts w:ascii="Times New Roman" w:hAnsi="Times New Roman" w:cs="Times New Roman"/>
                <w:sz w:val="22"/>
                <w:szCs w:val="22"/>
              </w:rPr>
              <w:t xml:space="preserve"> APA, confirm that the 2018 audited </w:t>
            </w:r>
            <w:r w:rsidR="00302BFA" w:rsidRPr="00F66630">
              <w:rPr>
                <w:rFonts w:ascii="Times New Roman" w:hAnsi="Times New Roman" w:cs="Times New Roman"/>
                <w:sz w:val="22"/>
                <w:szCs w:val="22"/>
              </w:rPr>
              <w:t>F</w:t>
            </w:r>
            <w:r w:rsidRPr="00F66630">
              <w:rPr>
                <w:rFonts w:ascii="Times New Roman" w:hAnsi="Times New Roman" w:cs="Times New Roman"/>
                <w:sz w:val="22"/>
                <w:szCs w:val="22"/>
              </w:rPr>
              <w:t>inancial Statements are published by 30 September 2019</w:t>
            </w:r>
            <w:r w:rsidR="00EB772D" w:rsidRPr="00F66630">
              <w:rPr>
                <w:rFonts w:ascii="Times New Roman" w:hAnsi="Times New Roman" w:cs="Times New Roman"/>
                <w:sz w:val="22"/>
                <w:szCs w:val="22"/>
              </w:rPr>
              <w:t xml:space="preserve"> on the State official website.</w:t>
            </w:r>
          </w:p>
          <w:p w14:paraId="2589D5DE" w14:textId="75597F64" w:rsidR="00886223" w:rsidRPr="00F66630" w:rsidRDefault="00886223"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For the 202</w:t>
            </w:r>
            <w:r w:rsidR="00AE583B" w:rsidRPr="00F66630">
              <w:rPr>
                <w:rFonts w:ascii="Times New Roman" w:hAnsi="Times New Roman" w:cs="Times New Roman"/>
                <w:sz w:val="22"/>
                <w:szCs w:val="22"/>
              </w:rPr>
              <w:t>0</w:t>
            </w:r>
            <w:r w:rsidRPr="00F66630">
              <w:rPr>
                <w:rFonts w:ascii="Times New Roman" w:hAnsi="Times New Roman" w:cs="Times New Roman"/>
                <w:sz w:val="22"/>
                <w:szCs w:val="22"/>
              </w:rPr>
              <w:t xml:space="preserve"> APA, confirm that the 2019 </w:t>
            </w:r>
            <w:r w:rsidR="001667BF" w:rsidRPr="00F66630">
              <w:rPr>
                <w:rFonts w:ascii="Times New Roman" w:hAnsi="Times New Roman" w:cs="Times New Roman"/>
                <w:sz w:val="22"/>
                <w:szCs w:val="22"/>
              </w:rPr>
              <w:t xml:space="preserve">audited </w:t>
            </w:r>
            <w:r w:rsidR="00302BFA" w:rsidRPr="00F66630">
              <w:rPr>
                <w:rFonts w:ascii="Times New Roman" w:hAnsi="Times New Roman" w:cs="Times New Roman"/>
                <w:sz w:val="22"/>
                <w:szCs w:val="22"/>
              </w:rPr>
              <w:t>F</w:t>
            </w:r>
            <w:r w:rsidR="001667BF" w:rsidRPr="00F66630">
              <w:rPr>
                <w:rFonts w:ascii="Times New Roman" w:hAnsi="Times New Roman" w:cs="Times New Roman"/>
                <w:sz w:val="22"/>
                <w:szCs w:val="22"/>
              </w:rPr>
              <w:t xml:space="preserve">inancial Statements </w:t>
            </w:r>
            <w:r w:rsidRPr="00F66630">
              <w:rPr>
                <w:rFonts w:ascii="Times New Roman" w:hAnsi="Times New Roman" w:cs="Times New Roman"/>
                <w:sz w:val="22"/>
                <w:szCs w:val="22"/>
              </w:rPr>
              <w:t xml:space="preserve">are prepared </w:t>
            </w:r>
            <w:r w:rsidR="00BF4333" w:rsidRPr="00F66630">
              <w:rPr>
                <w:rFonts w:ascii="Times New Roman" w:hAnsi="Times New Roman" w:cs="Times New Roman"/>
                <w:sz w:val="22"/>
                <w:szCs w:val="22"/>
              </w:rPr>
              <w:t xml:space="preserve">in accordance with </w:t>
            </w:r>
            <w:r w:rsidRPr="00F66630">
              <w:rPr>
                <w:rFonts w:ascii="Times New Roman" w:hAnsi="Times New Roman" w:cs="Times New Roman"/>
                <w:sz w:val="22"/>
                <w:szCs w:val="22"/>
              </w:rPr>
              <w:t xml:space="preserve">IPSAS and </w:t>
            </w:r>
            <w:r w:rsidR="00EB772D" w:rsidRPr="00F66630">
              <w:rPr>
                <w:rFonts w:ascii="Times New Roman" w:hAnsi="Times New Roman" w:cs="Times New Roman"/>
                <w:sz w:val="22"/>
                <w:szCs w:val="22"/>
              </w:rPr>
              <w:t>are published by 31 August 2020 on the State official website.</w:t>
            </w:r>
          </w:p>
          <w:p w14:paraId="1FB066D1" w14:textId="579E1269" w:rsidR="00886223" w:rsidRPr="00F66630" w:rsidRDefault="00AE583B"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For the 2021</w:t>
            </w:r>
            <w:r w:rsidR="00886223" w:rsidRPr="00F66630">
              <w:rPr>
                <w:rFonts w:ascii="Times New Roman" w:hAnsi="Times New Roman" w:cs="Times New Roman"/>
                <w:sz w:val="22"/>
                <w:szCs w:val="22"/>
              </w:rPr>
              <w:t xml:space="preserve"> APA, confirm that the 2020 </w:t>
            </w:r>
            <w:r w:rsidR="00302BFA" w:rsidRPr="00F66630">
              <w:rPr>
                <w:rFonts w:ascii="Times New Roman" w:hAnsi="Times New Roman" w:cs="Times New Roman"/>
                <w:sz w:val="22"/>
                <w:szCs w:val="22"/>
              </w:rPr>
              <w:t xml:space="preserve">audited Financial Statements are prepared in accordance with </w:t>
            </w:r>
            <w:r w:rsidR="00BF4333" w:rsidRPr="00F66630">
              <w:rPr>
                <w:rFonts w:ascii="Times New Roman" w:hAnsi="Times New Roman" w:cs="Times New Roman"/>
                <w:sz w:val="22"/>
                <w:szCs w:val="22"/>
              </w:rPr>
              <w:t>IPSAS</w:t>
            </w:r>
            <w:r w:rsidR="00886223" w:rsidRPr="00F66630">
              <w:rPr>
                <w:rFonts w:ascii="Times New Roman" w:hAnsi="Times New Roman" w:cs="Times New Roman"/>
                <w:sz w:val="22"/>
                <w:szCs w:val="22"/>
              </w:rPr>
              <w:t xml:space="preserve"> and </w:t>
            </w:r>
            <w:r w:rsidR="00EB772D" w:rsidRPr="00F66630">
              <w:rPr>
                <w:rFonts w:ascii="Times New Roman" w:hAnsi="Times New Roman" w:cs="Times New Roman"/>
                <w:sz w:val="22"/>
                <w:szCs w:val="22"/>
              </w:rPr>
              <w:t>are published by 31 July 2021 on the State official website.</w:t>
            </w:r>
          </w:p>
          <w:p w14:paraId="4D5AF17C" w14:textId="79C41AD9" w:rsidR="00146045" w:rsidRPr="00F66630" w:rsidRDefault="00886223"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If IPSAS has been implemented, confirm whether the primary statements and supporting notes are as expected.</w:t>
            </w:r>
            <w:r w:rsidR="00EC77D6" w:rsidRPr="00F66630">
              <w:rPr>
                <w:rFonts w:ascii="Times New Roman" w:hAnsi="Times New Roman" w:cs="Times New Roman"/>
                <w:sz w:val="22"/>
                <w:szCs w:val="22"/>
              </w:rPr>
              <w:t xml:space="preserve"> </w:t>
            </w:r>
          </w:p>
          <w:p w14:paraId="3693B6FC" w14:textId="73468BE9" w:rsidR="008E07D8" w:rsidRPr="00F66630" w:rsidRDefault="00146045"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Conduct checks</w:t>
            </w:r>
            <w:r w:rsidR="00EC77D6" w:rsidRPr="00F66630">
              <w:rPr>
                <w:rFonts w:ascii="Times New Roman" w:hAnsi="Times New Roman" w:cs="Times New Roman"/>
                <w:sz w:val="22"/>
                <w:szCs w:val="22"/>
              </w:rPr>
              <w:t xml:space="preserve"> of the </w:t>
            </w:r>
            <w:r w:rsidR="00E51FB6" w:rsidRPr="00F66630">
              <w:rPr>
                <w:rFonts w:ascii="Times New Roman" w:hAnsi="Times New Roman" w:cs="Times New Roman"/>
                <w:sz w:val="22"/>
                <w:szCs w:val="22"/>
              </w:rPr>
              <w:t xml:space="preserve">consistency and </w:t>
            </w:r>
            <w:r w:rsidR="00EC77D6" w:rsidRPr="00F66630">
              <w:rPr>
                <w:rFonts w:ascii="Times New Roman" w:hAnsi="Times New Roman" w:cs="Times New Roman"/>
                <w:sz w:val="22"/>
                <w:szCs w:val="22"/>
              </w:rPr>
              <w:t xml:space="preserve">reasonableness of the key balances </w:t>
            </w:r>
            <w:r w:rsidRPr="00F66630">
              <w:rPr>
                <w:rFonts w:ascii="Times New Roman" w:hAnsi="Times New Roman" w:cs="Times New Roman"/>
                <w:sz w:val="22"/>
                <w:szCs w:val="22"/>
              </w:rPr>
              <w:t xml:space="preserve">within the Financial Statements that are </w:t>
            </w:r>
            <w:r w:rsidR="00EC77D6" w:rsidRPr="00F66630">
              <w:rPr>
                <w:rFonts w:ascii="Times New Roman" w:hAnsi="Times New Roman" w:cs="Times New Roman"/>
                <w:sz w:val="22"/>
                <w:szCs w:val="22"/>
              </w:rPr>
              <w:t>relevant to SFTAS</w:t>
            </w:r>
            <w:r w:rsidR="00625BB5" w:rsidRPr="00F66630">
              <w:rPr>
                <w:rFonts w:ascii="Times New Roman" w:hAnsi="Times New Roman" w:cs="Times New Roman"/>
                <w:sz w:val="22"/>
                <w:szCs w:val="22"/>
              </w:rPr>
              <w:t xml:space="preserve"> </w:t>
            </w:r>
            <w:proofErr w:type="spellStart"/>
            <w:r w:rsidR="00625BB5" w:rsidRPr="00F66630">
              <w:rPr>
                <w:rFonts w:ascii="Times New Roman" w:hAnsi="Times New Roman" w:cs="Times New Roman"/>
                <w:sz w:val="22"/>
                <w:szCs w:val="22"/>
              </w:rPr>
              <w:t>DLRs</w:t>
            </w:r>
            <w:r w:rsidR="00EC77D6" w:rsidRPr="00F66630">
              <w:rPr>
                <w:rFonts w:ascii="Times New Roman" w:hAnsi="Times New Roman" w:cs="Times New Roman"/>
                <w:sz w:val="22"/>
                <w:szCs w:val="22"/>
              </w:rPr>
              <w:t>.</w:t>
            </w:r>
            <w:proofErr w:type="spellEnd"/>
            <w:r w:rsidR="00E51FB6" w:rsidRPr="00F66630">
              <w:rPr>
                <w:rFonts w:ascii="Times New Roman" w:hAnsi="Times New Roman" w:cs="Times New Roman"/>
                <w:sz w:val="22"/>
                <w:szCs w:val="22"/>
              </w:rPr>
              <w:t xml:space="preserve"> </w:t>
            </w:r>
          </w:p>
          <w:p w14:paraId="33DE77D9" w14:textId="72251993" w:rsidR="00886223" w:rsidRPr="00F66630" w:rsidRDefault="00697DF0" w:rsidP="00E36965">
            <w:pPr>
              <w:pStyle w:val="CommentText"/>
              <w:numPr>
                <w:ilvl w:val="0"/>
                <w:numId w:val="26"/>
              </w:numPr>
              <w:rPr>
                <w:rFonts w:ascii="Times New Roman" w:hAnsi="Times New Roman" w:cs="Times New Roman"/>
                <w:sz w:val="22"/>
                <w:szCs w:val="22"/>
              </w:rPr>
            </w:pPr>
            <w:r w:rsidRPr="00F66630">
              <w:rPr>
                <w:rFonts w:ascii="Times New Roman" w:hAnsi="Times New Roman" w:cs="Times New Roman"/>
                <w:sz w:val="22"/>
                <w:szCs w:val="22"/>
              </w:rPr>
              <w:t>Compare the stat</w:t>
            </w:r>
            <w:r w:rsidR="00671F27" w:rsidRPr="00F66630">
              <w:rPr>
                <w:rFonts w:ascii="Times New Roman" w:hAnsi="Times New Roman" w:cs="Times New Roman"/>
                <w:sz w:val="22"/>
                <w:szCs w:val="22"/>
              </w:rPr>
              <w:t>e</w:t>
            </w:r>
            <w:r w:rsidRPr="00F66630">
              <w:rPr>
                <w:rFonts w:ascii="Times New Roman" w:hAnsi="Times New Roman" w:cs="Times New Roman"/>
                <w:sz w:val="22"/>
                <w:szCs w:val="22"/>
              </w:rPr>
              <w:t>’s debt stock at the end of the year</w:t>
            </w:r>
            <w:r w:rsidR="008E07D8" w:rsidRPr="00F66630">
              <w:rPr>
                <w:rFonts w:ascii="Times New Roman" w:hAnsi="Times New Roman" w:cs="Times New Roman"/>
                <w:sz w:val="22"/>
                <w:szCs w:val="22"/>
              </w:rPr>
              <w:t xml:space="preserve"> in the Financial Statements</w:t>
            </w:r>
            <w:r w:rsidRPr="00F66630">
              <w:rPr>
                <w:rFonts w:ascii="Times New Roman" w:hAnsi="Times New Roman" w:cs="Times New Roman"/>
                <w:sz w:val="22"/>
                <w:szCs w:val="22"/>
              </w:rPr>
              <w:t xml:space="preserve"> with those reported to the DMO </w:t>
            </w:r>
            <w:r w:rsidR="00671F27" w:rsidRPr="00F66630">
              <w:rPr>
                <w:rFonts w:ascii="Times New Roman" w:hAnsi="Times New Roman" w:cs="Times New Roman"/>
                <w:sz w:val="22"/>
                <w:szCs w:val="22"/>
              </w:rPr>
              <w:t>and captured in the SDEDR su</w:t>
            </w:r>
            <w:r w:rsidR="008E07D8" w:rsidRPr="00F66630">
              <w:rPr>
                <w:rFonts w:ascii="Times New Roman" w:hAnsi="Times New Roman" w:cs="Times New Roman"/>
                <w:sz w:val="22"/>
                <w:szCs w:val="22"/>
              </w:rPr>
              <w:t>b</w:t>
            </w:r>
            <w:r w:rsidR="00AD4997" w:rsidRPr="00F66630">
              <w:rPr>
                <w:rFonts w:ascii="Times New Roman" w:hAnsi="Times New Roman" w:cs="Times New Roman"/>
                <w:sz w:val="22"/>
                <w:szCs w:val="22"/>
              </w:rPr>
              <w:t>m</w:t>
            </w:r>
            <w:r w:rsidR="00671F27" w:rsidRPr="00F66630">
              <w:rPr>
                <w:rFonts w:ascii="Times New Roman" w:hAnsi="Times New Roman" w:cs="Times New Roman"/>
                <w:sz w:val="22"/>
                <w:szCs w:val="22"/>
              </w:rPr>
              <w:t>itted by the DMO for DLI 7.2 and 9</w:t>
            </w:r>
            <w:r w:rsidR="008E07D8" w:rsidRPr="00F66630">
              <w:rPr>
                <w:rFonts w:ascii="Times New Roman" w:hAnsi="Times New Roman" w:cs="Times New Roman"/>
                <w:sz w:val="22"/>
                <w:szCs w:val="22"/>
              </w:rPr>
              <w:t xml:space="preserve"> and highlight any material differences</w:t>
            </w:r>
          </w:p>
          <w:p w14:paraId="30CEC0E6" w14:textId="18ADFA3F" w:rsidR="00A9594C" w:rsidRPr="00F66630" w:rsidRDefault="00886223" w:rsidP="00E36965">
            <w:pPr>
              <w:pStyle w:val="CommentText"/>
              <w:numPr>
                <w:ilvl w:val="0"/>
                <w:numId w:val="26"/>
              </w:numPr>
              <w:rPr>
                <w:rFonts w:ascii="Times New Roman" w:eastAsia="Times New Roman" w:hAnsi="Times New Roman" w:cs="Times New Roman"/>
                <w:b/>
                <w:bCs/>
                <w:i/>
                <w:iCs/>
                <w:color w:val="000000"/>
                <w:sz w:val="22"/>
                <w:szCs w:val="22"/>
              </w:rPr>
            </w:pPr>
            <w:r w:rsidRPr="00F66630">
              <w:rPr>
                <w:rFonts w:ascii="Times New Roman" w:hAnsi="Times New Roman" w:cs="Times New Roman"/>
                <w:sz w:val="22"/>
                <w:szCs w:val="22"/>
              </w:rPr>
              <w:t xml:space="preserve">Confirm that the Financial Statements contain the following disclosures: the sources and uses of funds statements (or receipts and payments of funds statement); the appropriation for the year in review as well as the actual spending and balances against the appropriation; comparative actual </w:t>
            </w:r>
            <w:r w:rsidRPr="00F66630">
              <w:rPr>
                <w:rFonts w:ascii="Times New Roman" w:hAnsi="Times New Roman" w:cs="Times New Roman"/>
                <w:sz w:val="22"/>
                <w:szCs w:val="22"/>
              </w:rPr>
              <w:lastRenderedPageBreak/>
              <w:t>expenditures of the preceding year; a summary statement of the state’s debt stock and debt servicing; accounting policies applied; and notes to the accounts.</w:t>
            </w:r>
          </w:p>
        </w:tc>
      </w:tr>
      <w:tr w:rsidR="00886223" w:rsidRPr="00F66630" w14:paraId="219BE2E6" w14:textId="77777777" w:rsidTr="009C154A">
        <w:trPr>
          <w:trHeight w:val="440"/>
        </w:trPr>
        <w:tc>
          <w:tcPr>
            <w:tcW w:w="5000" w:type="pct"/>
            <w:gridSpan w:val="2"/>
            <w:shd w:val="clear" w:color="auto" w:fill="EAF1DD" w:themeFill="accent3" w:themeFillTint="33"/>
          </w:tcPr>
          <w:p w14:paraId="325C7FB4" w14:textId="196E60E8" w:rsidR="00F90057" w:rsidRPr="00F66630" w:rsidRDefault="00E13789" w:rsidP="00213F3A">
            <w:pPr>
              <w:pStyle w:val="Heading3"/>
              <w:numPr>
                <w:ilvl w:val="0"/>
                <w:numId w:val="0"/>
              </w:numPr>
              <w:outlineLvl w:val="2"/>
              <w:rPr>
                <w:rFonts w:eastAsia="Calibri" w:cs="Times New Roman"/>
                <w:b w:val="0"/>
              </w:rPr>
            </w:pPr>
            <w:r w:rsidRPr="00F66630">
              <w:rPr>
                <w:sz w:val="22"/>
                <w:szCs w:val="22"/>
              </w:rPr>
              <w:lastRenderedPageBreak/>
              <w:br w:type="page"/>
            </w:r>
            <w:bookmarkStart w:id="18" w:name="_Toc107345847"/>
            <w:r w:rsidR="00BB1303" w:rsidRPr="00F66630">
              <w:rPr>
                <w:sz w:val="22"/>
                <w:szCs w:val="22"/>
              </w:rPr>
              <w:t xml:space="preserve">ORIGINAL </w:t>
            </w:r>
            <w:r w:rsidR="00886223" w:rsidRPr="00F66630">
              <w:rPr>
                <w:rFonts w:ascii="Times New Roman Bold" w:eastAsia="Calibri" w:hAnsi="Times New Roman Bold"/>
                <w:sz w:val="22"/>
                <w:szCs w:val="22"/>
              </w:rPr>
              <w:t>DLI 1: Improved financial re</w:t>
            </w:r>
            <w:r w:rsidR="00B301D1" w:rsidRPr="00F66630">
              <w:rPr>
                <w:rFonts w:ascii="Times New Roman Bold" w:eastAsia="Calibri" w:hAnsi="Times New Roman Bold"/>
                <w:sz w:val="22"/>
                <w:szCs w:val="22"/>
              </w:rPr>
              <w:t>porting and budget reliability</w:t>
            </w:r>
            <w:bookmarkEnd w:id="18"/>
          </w:p>
        </w:tc>
      </w:tr>
      <w:tr w:rsidR="007D562A" w:rsidRPr="00F66630" w14:paraId="47F817F1" w14:textId="77777777" w:rsidTr="00176CC2">
        <w:trPr>
          <w:trHeight w:val="470"/>
        </w:trPr>
        <w:tc>
          <w:tcPr>
            <w:tcW w:w="881" w:type="pct"/>
            <w:shd w:val="clear" w:color="auto" w:fill="FDE9D9" w:themeFill="accent6" w:themeFillTint="33"/>
          </w:tcPr>
          <w:p w14:paraId="291CD515" w14:textId="478225DC" w:rsidR="007D562A" w:rsidRPr="00F66630" w:rsidRDefault="001A0310" w:rsidP="007D562A">
            <w:pPr>
              <w:rPr>
                <w:rFonts w:ascii="Times New Roman" w:hAnsi="Times New Roman" w:cs="Times New Roman"/>
                <w:b/>
                <w:i/>
              </w:rPr>
            </w:pPr>
            <w:bookmarkStart w:id="19" w:name="_Hlk524617897"/>
            <w:r w:rsidRPr="00F66630">
              <w:rPr>
                <w:rFonts w:ascii="Times New Roman" w:hAnsi="Times New Roman" w:cs="Times New Roman"/>
                <w:b/>
                <w:i/>
              </w:rPr>
              <w:t>DLR description as per DLI Matrix</w:t>
            </w:r>
          </w:p>
        </w:tc>
        <w:tc>
          <w:tcPr>
            <w:tcW w:w="4119" w:type="pct"/>
            <w:shd w:val="clear" w:color="auto" w:fill="FDE9D9" w:themeFill="accent6" w:themeFillTint="33"/>
          </w:tcPr>
          <w:p w14:paraId="522747BE" w14:textId="5E1D3EE7"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bookmarkEnd w:id="19"/>
      <w:tr w:rsidR="00886223" w:rsidRPr="00F66630" w14:paraId="66FE8CD2" w14:textId="77777777" w:rsidTr="00176CC2">
        <w:tc>
          <w:tcPr>
            <w:tcW w:w="881" w:type="pct"/>
          </w:tcPr>
          <w:p w14:paraId="1820B869" w14:textId="2DE3ECD5" w:rsidR="00886223" w:rsidRPr="00F66630" w:rsidRDefault="00886223" w:rsidP="00395C93">
            <w:pPr>
              <w:rPr>
                <w:rFonts w:ascii="Times New Roman" w:eastAsia="Times New Roman" w:hAnsi="Times New Roman" w:cs="Times New Roman"/>
                <w:b/>
                <w:bCs/>
                <w:color w:val="000000"/>
              </w:rPr>
            </w:pPr>
            <w:r w:rsidRPr="00F66630">
              <w:rPr>
                <w:rFonts w:ascii="Times New Roman" w:eastAsia="Times New Roman" w:hAnsi="Times New Roman" w:cs="Times New Roman"/>
                <w:b/>
                <w:bCs/>
                <w:color w:val="000000"/>
              </w:rPr>
              <w:t xml:space="preserve">1.1 In-year quarterly budget implementation reports published on average within </w:t>
            </w:r>
            <w:r w:rsidR="00F90057" w:rsidRPr="00F66630">
              <w:rPr>
                <w:rFonts w:ascii="Times New Roman" w:eastAsia="Times New Roman" w:hAnsi="Times New Roman" w:cs="Times New Roman"/>
                <w:b/>
                <w:bCs/>
                <w:i/>
                <w:color w:val="000000"/>
              </w:rPr>
              <w:t>[</w:t>
            </w:r>
            <w:r w:rsidR="00FC52E2" w:rsidRPr="00F66630">
              <w:rPr>
                <w:rFonts w:ascii="Times New Roman" w:eastAsia="Times New Roman" w:hAnsi="Times New Roman" w:cs="Times New Roman"/>
                <w:b/>
                <w:bCs/>
                <w:i/>
                <w:color w:val="000000"/>
              </w:rPr>
              <w:t>x</w:t>
            </w:r>
            <w:r w:rsidRPr="00F66630">
              <w:rPr>
                <w:rFonts w:ascii="Times New Roman" w:eastAsia="Times New Roman" w:hAnsi="Times New Roman" w:cs="Times New Roman"/>
                <w:b/>
                <w:bCs/>
                <w:i/>
                <w:color w:val="000000"/>
              </w:rPr>
              <w:t xml:space="preserve"> weeks</w:t>
            </w:r>
            <w:r w:rsidR="00F90057" w:rsidRPr="00F66630">
              <w:rPr>
                <w:rFonts w:ascii="Times New Roman" w:eastAsia="Times New Roman" w:hAnsi="Times New Roman" w:cs="Times New Roman"/>
                <w:b/>
                <w:bCs/>
                <w:i/>
                <w:color w:val="000000"/>
              </w:rPr>
              <w:t>]</w:t>
            </w:r>
            <w:r w:rsidRPr="00F66630">
              <w:rPr>
                <w:rFonts w:ascii="Times New Roman" w:eastAsia="Times New Roman" w:hAnsi="Times New Roman" w:cs="Times New Roman"/>
                <w:b/>
                <w:bCs/>
                <w:color w:val="000000"/>
              </w:rPr>
              <w:t xml:space="preserve"> of each quarter-end to enable timely budget management</w:t>
            </w:r>
          </w:p>
        </w:tc>
        <w:tc>
          <w:tcPr>
            <w:tcW w:w="4119" w:type="pct"/>
          </w:tcPr>
          <w:p w14:paraId="61ABB96F" w14:textId="67FB9424" w:rsidR="00FC52E2" w:rsidRPr="00F66630" w:rsidRDefault="00886223"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Quarterly budget implementation reports are the same as quarterly budget execution reports.  The report</w:t>
            </w:r>
            <w:r w:rsidR="00FC52E2" w:rsidRPr="00F66630">
              <w:rPr>
                <w:rFonts w:ascii="Times New Roman" w:eastAsia="Times New Roman" w:hAnsi="Times New Roman" w:cs="Times New Roman"/>
                <w:color w:val="000000"/>
              </w:rPr>
              <w:t>s</w:t>
            </w:r>
            <w:r w:rsidRPr="00F66630">
              <w:rPr>
                <w:rFonts w:ascii="Times New Roman" w:eastAsia="Times New Roman" w:hAnsi="Times New Roman" w:cs="Times New Roman"/>
                <w:color w:val="000000"/>
              </w:rPr>
              <w:t xml:space="preserve"> are to be posted to the state </w:t>
            </w:r>
            <w:r w:rsidR="00293A93" w:rsidRPr="00F66630">
              <w:rPr>
                <w:rFonts w:ascii="Times New Roman" w:eastAsia="Times New Roman" w:hAnsi="Times New Roman" w:cs="Times New Roman"/>
                <w:color w:val="000000"/>
              </w:rPr>
              <w:t xml:space="preserve">official </w:t>
            </w:r>
            <w:r w:rsidRPr="00F66630">
              <w:rPr>
                <w:rFonts w:ascii="Times New Roman" w:eastAsia="Times New Roman" w:hAnsi="Times New Roman" w:cs="Times New Roman"/>
                <w:color w:val="000000"/>
              </w:rPr>
              <w:t xml:space="preserve">website </w:t>
            </w:r>
            <w:r w:rsidR="00663882" w:rsidRPr="00F66630">
              <w:rPr>
                <w:rFonts w:ascii="Times New Roman" w:eastAsia="Times New Roman" w:hAnsi="Times New Roman" w:cs="Times New Roman"/>
                <w:color w:val="000000"/>
              </w:rPr>
              <w:t xml:space="preserve">on average </w:t>
            </w:r>
            <w:r w:rsidRPr="00F66630">
              <w:rPr>
                <w:rFonts w:ascii="Times New Roman" w:eastAsia="Times New Roman" w:hAnsi="Times New Roman" w:cs="Times New Roman"/>
                <w:color w:val="000000"/>
              </w:rPr>
              <w:t>within the specific timelines defined for each of the Program years</w:t>
            </w:r>
            <w:r w:rsidR="00FC52E2" w:rsidRPr="00F66630">
              <w:rPr>
                <w:rFonts w:ascii="Times New Roman" w:eastAsia="Times New Roman" w:hAnsi="Times New Roman" w:cs="Times New Roman"/>
                <w:color w:val="000000"/>
              </w:rPr>
              <w:t xml:space="preserve"> in the DLI Matrix.</w:t>
            </w:r>
            <w:r w:rsidR="00663882" w:rsidRPr="00F66630">
              <w:rPr>
                <w:rFonts w:ascii="Times New Roman" w:eastAsia="Times New Roman" w:hAnsi="Times New Roman" w:cs="Times New Roman"/>
                <w:color w:val="000000"/>
              </w:rPr>
              <w:t xml:space="preserve"> </w:t>
            </w:r>
            <w:r w:rsidR="00625BB5" w:rsidRPr="00F66630">
              <w:rPr>
                <w:rFonts w:ascii="Times New Roman" w:hAnsi="Times New Roman" w:cs="Times New Roman"/>
              </w:rPr>
              <w:t>For 2019, the average timeline is 6 weeks after the end of the quarter while this changes to 4 weeks for 2020 and 2021.</w:t>
            </w:r>
          </w:p>
          <w:p w14:paraId="568E67EA" w14:textId="77777777" w:rsidR="00FC52E2" w:rsidRPr="00F66630" w:rsidRDefault="00FC52E2" w:rsidP="00395C93">
            <w:pPr>
              <w:rPr>
                <w:rFonts w:ascii="Times New Roman" w:eastAsia="Times New Roman" w:hAnsi="Times New Roman" w:cs="Times New Roman"/>
                <w:color w:val="000000"/>
              </w:rPr>
            </w:pPr>
          </w:p>
          <w:p w14:paraId="494ABA8B" w14:textId="11D3FDB7" w:rsidR="001B177B" w:rsidRPr="00F66630" w:rsidRDefault="001B177B"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u w:val="single"/>
              </w:rPr>
              <w:t xml:space="preserve">Each </w:t>
            </w:r>
            <w:r w:rsidRPr="00F66630">
              <w:rPr>
                <w:rFonts w:ascii="Times New Roman" w:eastAsia="Times New Roman" w:hAnsi="Times New Roman" w:cs="Times New Roman"/>
                <w:color w:val="000000"/>
              </w:rPr>
              <w:t xml:space="preserve">of the quarterly budget implementation reports </w:t>
            </w:r>
            <w:bookmarkStart w:id="20" w:name="_Hlk523749293"/>
            <w:r w:rsidRPr="00F66630">
              <w:rPr>
                <w:rFonts w:ascii="Times New Roman" w:eastAsia="Times New Roman" w:hAnsi="Times New Roman" w:cs="Times New Roman"/>
                <w:color w:val="000000"/>
              </w:rPr>
              <w:t>are required to include the following information,</w:t>
            </w:r>
            <w:r w:rsidR="00886223" w:rsidRPr="00F66630">
              <w:rPr>
                <w:rFonts w:ascii="Times New Roman" w:eastAsia="Times New Roman" w:hAnsi="Times New Roman" w:cs="Times New Roman"/>
                <w:color w:val="000000"/>
              </w:rPr>
              <w:t xml:space="preserve"> at a minimum</w:t>
            </w:r>
            <w:r w:rsidRPr="00F66630">
              <w:rPr>
                <w:rFonts w:ascii="Times New Roman" w:eastAsia="Times New Roman" w:hAnsi="Times New Roman" w:cs="Times New Roman"/>
                <w:color w:val="000000"/>
              </w:rPr>
              <w:t>:</w:t>
            </w:r>
          </w:p>
          <w:p w14:paraId="58112CD9" w14:textId="0CB9006B" w:rsidR="001B177B" w:rsidRPr="00F66630" w:rsidRDefault="001B177B" w:rsidP="003C4D12">
            <w:pPr>
              <w:pStyle w:val="ListParagraph"/>
              <w:numPr>
                <w:ilvl w:val="0"/>
                <w:numId w:val="87"/>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The </w:t>
            </w:r>
            <w:r w:rsidR="00886223" w:rsidRPr="00F66630">
              <w:rPr>
                <w:rFonts w:ascii="Times New Roman" w:eastAsia="Times New Roman" w:hAnsi="Times New Roman" w:cs="Times New Roman"/>
                <w:color w:val="000000"/>
              </w:rPr>
              <w:t xml:space="preserve">approved budget appropriation for the year for each organizational units (MDAs), and for each of the </w:t>
            </w:r>
            <w:r w:rsidR="00FC52E2" w:rsidRPr="00F66630">
              <w:rPr>
                <w:rFonts w:ascii="Times New Roman" w:eastAsia="Times New Roman" w:hAnsi="Times New Roman" w:cs="Times New Roman"/>
                <w:color w:val="000000"/>
              </w:rPr>
              <w:t>core economic</w:t>
            </w:r>
            <w:r w:rsidR="00886223" w:rsidRPr="00F66630">
              <w:rPr>
                <w:rFonts w:ascii="Times New Roman" w:eastAsia="Times New Roman" w:hAnsi="Times New Roman" w:cs="Times New Roman"/>
                <w:color w:val="000000"/>
              </w:rPr>
              <w:t xml:space="preserve"> classifications of expenditure (Personnel, Overheads, Capital, and </w:t>
            </w:r>
            <w:proofErr w:type="gramStart"/>
            <w:r w:rsidR="00886223" w:rsidRPr="00F66630">
              <w:rPr>
                <w:rFonts w:ascii="Times New Roman" w:eastAsia="Times New Roman" w:hAnsi="Times New Roman" w:cs="Times New Roman"/>
                <w:color w:val="000000"/>
              </w:rPr>
              <w:t>Other</w:t>
            </w:r>
            <w:proofErr w:type="gramEnd"/>
            <w:r w:rsidR="00886223" w:rsidRPr="00F66630">
              <w:rPr>
                <w:rFonts w:ascii="Times New Roman" w:eastAsia="Times New Roman" w:hAnsi="Times New Roman" w:cs="Times New Roman"/>
                <w:color w:val="000000"/>
              </w:rPr>
              <w:t xml:space="preserve"> expenditures). </w:t>
            </w:r>
          </w:p>
          <w:p w14:paraId="7AD79D38" w14:textId="4B294EB3" w:rsidR="001B177B" w:rsidRPr="00F66630" w:rsidRDefault="00E70E27" w:rsidP="003C4D12">
            <w:pPr>
              <w:pStyle w:val="ListParagraph"/>
              <w:numPr>
                <w:ilvl w:val="0"/>
                <w:numId w:val="87"/>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Where states have amended/revised or </w:t>
            </w:r>
            <w:r w:rsidR="00273A75" w:rsidRPr="00F66630">
              <w:rPr>
                <w:rFonts w:ascii="Times New Roman" w:eastAsia="Times New Roman" w:hAnsi="Times New Roman" w:cs="Times New Roman"/>
                <w:color w:val="000000"/>
              </w:rPr>
              <w:t xml:space="preserve">passed supplementary budgets, </w:t>
            </w:r>
            <w:r w:rsidR="001B177B" w:rsidRPr="00F66630">
              <w:rPr>
                <w:rFonts w:ascii="Times New Roman" w:eastAsia="Times New Roman" w:hAnsi="Times New Roman" w:cs="Times New Roman"/>
                <w:color w:val="000000"/>
              </w:rPr>
              <w:t xml:space="preserve">States </w:t>
            </w:r>
            <w:r w:rsidR="00861F34" w:rsidRPr="00F66630">
              <w:rPr>
                <w:rFonts w:ascii="Times New Roman" w:eastAsia="Times New Roman" w:hAnsi="Times New Roman" w:cs="Times New Roman"/>
                <w:color w:val="000000"/>
              </w:rPr>
              <w:t xml:space="preserve">should show </w:t>
            </w:r>
            <w:r w:rsidR="00861F34" w:rsidRPr="00F66630">
              <w:rPr>
                <w:rFonts w:ascii="Times New Roman" w:eastAsia="Times New Roman" w:hAnsi="Times New Roman" w:cs="Times New Roman"/>
                <w:color w:val="000000"/>
                <w:u w:val="single"/>
              </w:rPr>
              <w:t>both</w:t>
            </w:r>
            <w:r w:rsidR="00861F34" w:rsidRPr="00F66630">
              <w:rPr>
                <w:rFonts w:ascii="Times New Roman" w:eastAsia="Times New Roman" w:hAnsi="Times New Roman" w:cs="Times New Roman"/>
                <w:color w:val="000000"/>
              </w:rPr>
              <w:t xml:space="preserve"> the </w:t>
            </w:r>
            <w:r w:rsidR="00E63FEF" w:rsidRPr="00F66630">
              <w:rPr>
                <w:rFonts w:ascii="Times New Roman" w:eastAsia="Times New Roman" w:hAnsi="Times New Roman" w:cs="Times New Roman"/>
                <w:color w:val="000000"/>
              </w:rPr>
              <w:t xml:space="preserve">approved original budget </w:t>
            </w:r>
            <w:r w:rsidR="00C036DC" w:rsidRPr="00F66630">
              <w:rPr>
                <w:rFonts w:ascii="Times New Roman" w:eastAsia="Times New Roman" w:hAnsi="Times New Roman" w:cs="Times New Roman"/>
                <w:color w:val="000000"/>
              </w:rPr>
              <w:t>AND</w:t>
            </w:r>
            <w:r w:rsidR="00E63FEF" w:rsidRPr="00F66630">
              <w:rPr>
                <w:rFonts w:ascii="Times New Roman" w:eastAsia="Times New Roman" w:hAnsi="Times New Roman" w:cs="Times New Roman"/>
                <w:color w:val="000000"/>
              </w:rPr>
              <w:t xml:space="preserve"> </w:t>
            </w:r>
            <w:r w:rsidR="0015050B" w:rsidRPr="00F66630">
              <w:rPr>
                <w:rFonts w:ascii="Times New Roman" w:eastAsia="Times New Roman" w:hAnsi="Times New Roman" w:cs="Times New Roman"/>
                <w:color w:val="000000"/>
              </w:rPr>
              <w:t xml:space="preserve">the approved </w:t>
            </w:r>
            <w:r w:rsidR="00C036DC" w:rsidRPr="00F66630">
              <w:rPr>
                <w:rFonts w:ascii="Times New Roman" w:eastAsia="Times New Roman" w:hAnsi="Times New Roman" w:cs="Times New Roman"/>
                <w:color w:val="000000"/>
              </w:rPr>
              <w:t>amended/revised/supplementary budgets</w:t>
            </w:r>
            <w:r w:rsidR="001B177B" w:rsidRPr="00F66630">
              <w:rPr>
                <w:rFonts w:ascii="Times New Roman" w:eastAsia="Times New Roman" w:hAnsi="Times New Roman" w:cs="Times New Roman"/>
                <w:color w:val="000000"/>
              </w:rPr>
              <w:t xml:space="preserve"> in the reports</w:t>
            </w:r>
            <w:r w:rsidR="00C036DC" w:rsidRPr="00F66630">
              <w:rPr>
                <w:rFonts w:ascii="Times New Roman" w:eastAsia="Times New Roman" w:hAnsi="Times New Roman" w:cs="Times New Roman"/>
                <w:color w:val="000000"/>
              </w:rPr>
              <w:t xml:space="preserve">. </w:t>
            </w:r>
          </w:p>
          <w:p w14:paraId="2DA44D2E" w14:textId="7CC6C98D" w:rsidR="001B177B" w:rsidRPr="00F66630" w:rsidRDefault="001B177B" w:rsidP="003C4D12">
            <w:pPr>
              <w:pStyle w:val="ListParagraph"/>
              <w:numPr>
                <w:ilvl w:val="0"/>
                <w:numId w:val="87"/>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T</w:t>
            </w:r>
            <w:r w:rsidR="00886223" w:rsidRPr="00F66630">
              <w:rPr>
                <w:rFonts w:ascii="Times New Roman" w:eastAsia="Times New Roman" w:hAnsi="Times New Roman" w:cs="Times New Roman"/>
                <w:color w:val="000000"/>
              </w:rPr>
              <w:t xml:space="preserve">he actual expenditures for the quarter attributed to each MDA and each expenditure classification </w:t>
            </w:r>
            <w:proofErr w:type="gramStart"/>
            <w:r w:rsidRPr="00F66630">
              <w:rPr>
                <w:rFonts w:ascii="Times New Roman" w:eastAsia="Times New Roman" w:hAnsi="Times New Roman" w:cs="Times New Roman"/>
                <w:color w:val="000000"/>
                <w:u w:val="single"/>
              </w:rPr>
              <w:t>and</w:t>
            </w:r>
            <w:r w:rsidRPr="00F66630">
              <w:rPr>
                <w:rFonts w:ascii="Times New Roman" w:eastAsia="Times New Roman" w:hAnsi="Times New Roman" w:cs="Times New Roman"/>
                <w:color w:val="000000"/>
              </w:rPr>
              <w:t xml:space="preserve"> also</w:t>
            </w:r>
            <w:proofErr w:type="gramEnd"/>
            <w:r w:rsidRPr="00F66630">
              <w:rPr>
                <w:rFonts w:ascii="Times New Roman" w:eastAsia="Times New Roman" w:hAnsi="Times New Roman" w:cs="Times New Roman"/>
                <w:color w:val="000000"/>
              </w:rPr>
              <w:t xml:space="preserve"> </w:t>
            </w:r>
            <w:r w:rsidR="00886223" w:rsidRPr="00F66630">
              <w:rPr>
                <w:rFonts w:ascii="Times New Roman" w:eastAsia="Times New Roman" w:hAnsi="Times New Roman" w:cs="Times New Roman"/>
                <w:color w:val="000000"/>
              </w:rPr>
              <w:t xml:space="preserve">the </w:t>
            </w:r>
            <w:r w:rsidRPr="00F66630">
              <w:rPr>
                <w:rFonts w:ascii="Times New Roman" w:eastAsia="Times New Roman" w:hAnsi="Times New Roman" w:cs="Times New Roman"/>
                <w:color w:val="000000"/>
              </w:rPr>
              <w:t xml:space="preserve">actual </w:t>
            </w:r>
            <w:r w:rsidR="00886223" w:rsidRPr="00F66630">
              <w:rPr>
                <w:rFonts w:ascii="Times New Roman" w:eastAsia="Times New Roman" w:hAnsi="Times New Roman" w:cs="Times New Roman"/>
                <w:color w:val="000000"/>
              </w:rPr>
              <w:t xml:space="preserve">cumulative expenditures for </w:t>
            </w:r>
            <w:r w:rsidRPr="00F66630">
              <w:rPr>
                <w:rFonts w:ascii="Times New Roman" w:eastAsia="Times New Roman" w:hAnsi="Times New Roman" w:cs="Times New Roman"/>
                <w:color w:val="000000"/>
              </w:rPr>
              <w:t xml:space="preserve">the </w:t>
            </w:r>
            <w:r w:rsidR="00886223" w:rsidRPr="00F66630">
              <w:rPr>
                <w:rFonts w:ascii="Times New Roman" w:eastAsia="Times New Roman" w:hAnsi="Times New Roman" w:cs="Times New Roman"/>
                <w:color w:val="000000"/>
              </w:rPr>
              <w:t xml:space="preserve">year to date. </w:t>
            </w:r>
          </w:p>
          <w:p w14:paraId="0D6FACC0" w14:textId="7F0347AA" w:rsidR="00FC52E2" w:rsidRPr="00F66630" w:rsidRDefault="001B177B" w:rsidP="003C4D12">
            <w:pPr>
              <w:pStyle w:val="ListParagraph"/>
              <w:numPr>
                <w:ilvl w:val="0"/>
                <w:numId w:val="87"/>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The</w:t>
            </w:r>
            <w:r w:rsidR="00886223" w:rsidRPr="00F66630">
              <w:rPr>
                <w:rFonts w:ascii="Times New Roman" w:eastAsia="Times New Roman" w:hAnsi="Times New Roman" w:cs="Times New Roman"/>
                <w:color w:val="000000"/>
              </w:rPr>
              <w:t xml:space="preserve"> balances against each of the revenue and expenditure appropriations</w:t>
            </w:r>
            <w:bookmarkEnd w:id="20"/>
            <w:r w:rsidR="00886223" w:rsidRPr="00F66630">
              <w:rPr>
                <w:rFonts w:ascii="Times New Roman" w:eastAsia="Times New Roman" w:hAnsi="Times New Roman" w:cs="Times New Roman"/>
                <w:color w:val="000000"/>
              </w:rPr>
              <w:t>. The balances should also be provided on a consolidated basis across the four (4) expenditure</w:t>
            </w:r>
            <w:r w:rsidR="00FC52E2" w:rsidRPr="00F66630">
              <w:rPr>
                <w:rFonts w:ascii="Times New Roman" w:eastAsia="Times New Roman" w:hAnsi="Times New Roman" w:cs="Times New Roman"/>
                <w:color w:val="000000"/>
              </w:rPr>
              <w:t xml:space="preserve"> classifications.</w:t>
            </w:r>
          </w:p>
          <w:p w14:paraId="7281B25A" w14:textId="77777777" w:rsidR="00FC52E2" w:rsidRPr="00F66630" w:rsidRDefault="00FC52E2" w:rsidP="00395C93">
            <w:pPr>
              <w:rPr>
                <w:rFonts w:ascii="Times New Roman" w:eastAsia="Times New Roman" w:hAnsi="Times New Roman" w:cs="Times New Roman"/>
                <w:color w:val="000000"/>
              </w:rPr>
            </w:pPr>
          </w:p>
          <w:p w14:paraId="4FD4B832" w14:textId="77777777" w:rsidR="00022990" w:rsidRPr="00F66630" w:rsidRDefault="00886223"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Note that ‘Other Expenditures’ will include debt servicing</w:t>
            </w:r>
            <w:r w:rsidR="00E435F6" w:rsidRPr="00F66630">
              <w:rPr>
                <w:rFonts w:ascii="Times New Roman" w:eastAsia="Times New Roman" w:hAnsi="Times New Roman" w:cs="Times New Roman"/>
                <w:color w:val="000000"/>
              </w:rPr>
              <w:t xml:space="preserve"> </w:t>
            </w:r>
            <w:r w:rsidRPr="00F66630">
              <w:rPr>
                <w:rFonts w:ascii="Times New Roman" w:eastAsia="Times New Roman" w:hAnsi="Times New Roman" w:cs="Times New Roman"/>
                <w:color w:val="000000"/>
              </w:rPr>
              <w:t xml:space="preserve">and transfers, or other expenditures not attributable to any of the other three (3) expenditure classifications. </w:t>
            </w:r>
          </w:p>
          <w:p w14:paraId="59AD4360" w14:textId="5F620E8A" w:rsidR="009C154A" w:rsidRPr="00F66630" w:rsidRDefault="009C154A" w:rsidP="00395C93">
            <w:pPr>
              <w:rPr>
                <w:rFonts w:ascii="Times New Roman" w:eastAsia="Times New Roman" w:hAnsi="Times New Roman" w:cs="Times New Roman"/>
                <w:color w:val="000000"/>
              </w:rPr>
            </w:pPr>
          </w:p>
        </w:tc>
      </w:tr>
      <w:tr w:rsidR="00B301D1" w:rsidRPr="00F66630" w14:paraId="0C6624FA" w14:textId="77777777" w:rsidTr="00DC1205">
        <w:tc>
          <w:tcPr>
            <w:tcW w:w="5000" w:type="pct"/>
            <w:gridSpan w:val="2"/>
            <w:shd w:val="clear" w:color="auto" w:fill="FDE9D9" w:themeFill="accent6" w:themeFillTint="33"/>
          </w:tcPr>
          <w:p w14:paraId="09F4B8E7" w14:textId="6B017540" w:rsidR="00B301D1" w:rsidRPr="00F66630" w:rsidRDefault="00B301D1" w:rsidP="00DE4E0B">
            <w:pPr>
              <w:rPr>
                <w:rFonts w:ascii="Times New Roman" w:hAnsi="Times New Roman" w:cs="Times New Roman"/>
                <w:b/>
                <w:i/>
              </w:rPr>
            </w:pPr>
            <w:r w:rsidRPr="00F66630">
              <w:rPr>
                <w:rFonts w:ascii="Times New Roman" w:hAnsi="Times New Roman" w:cs="Times New Roman"/>
                <w:b/>
                <w:i/>
              </w:rPr>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1D0A1C" w:rsidRPr="00F66630">
              <w:rPr>
                <w:rFonts w:ascii="Times New Roman" w:hAnsi="Times New Roman" w:cs="Times New Roman"/>
                <w:b/>
                <w:i/>
              </w:rPr>
              <w:t xml:space="preserve"> (2019 APA onwards)</w:t>
            </w:r>
          </w:p>
        </w:tc>
      </w:tr>
      <w:tr w:rsidR="00B301D1" w:rsidRPr="00F66630" w14:paraId="6CE4F718" w14:textId="77777777" w:rsidTr="00DC1205">
        <w:tc>
          <w:tcPr>
            <w:tcW w:w="5000" w:type="pct"/>
            <w:gridSpan w:val="2"/>
          </w:tcPr>
          <w:p w14:paraId="1E6EB024" w14:textId="77777777" w:rsidR="00DE4E0B" w:rsidRPr="00F66630" w:rsidRDefault="00DE4E0B" w:rsidP="00DE4E0B">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5A8FF2CA" w14:textId="77777777" w:rsidR="00663882" w:rsidRPr="00F66630" w:rsidRDefault="00B238E8" w:rsidP="00394012">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official website(s)</w:t>
            </w:r>
            <w:r w:rsidRPr="00F66630">
              <w:rPr>
                <w:rFonts w:ascii="Times New Roman" w:hAnsi="Times New Roman" w:cs="Times New Roman"/>
                <w:sz w:val="22"/>
                <w:szCs w:val="22"/>
              </w:rPr>
              <w:t>: the website of the Office of the Auditor-General for States, the website of the State Government, the website of relevant Ministries such as Finance, Budget and Economic Planning, the website of the State House of Assembly</w:t>
            </w:r>
          </w:p>
          <w:p w14:paraId="4CF1A21C" w14:textId="65110F97" w:rsidR="009C154A" w:rsidRPr="00F66630" w:rsidRDefault="009C154A" w:rsidP="009C154A">
            <w:pPr>
              <w:pStyle w:val="CommentText"/>
              <w:ind w:left="360"/>
              <w:rPr>
                <w:rFonts w:ascii="Times New Roman" w:hAnsi="Times New Roman" w:cs="Times New Roman"/>
                <w:sz w:val="22"/>
                <w:szCs w:val="22"/>
              </w:rPr>
            </w:pPr>
          </w:p>
        </w:tc>
      </w:tr>
      <w:tr w:rsidR="00886223" w:rsidRPr="00F66630" w14:paraId="2BE381BB" w14:textId="77777777" w:rsidTr="00DC1205">
        <w:tc>
          <w:tcPr>
            <w:tcW w:w="5000" w:type="pct"/>
            <w:gridSpan w:val="2"/>
          </w:tcPr>
          <w:p w14:paraId="227BAB7B" w14:textId="2EAB3DDE" w:rsidR="00DE4E0B" w:rsidRPr="00F66630" w:rsidRDefault="00DE4E0B" w:rsidP="00DE4E0B">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7A71301B" w14:textId="77777777" w:rsidR="009C154A" w:rsidRPr="00F66630" w:rsidRDefault="009C154A" w:rsidP="00DE4E0B">
            <w:pPr>
              <w:pStyle w:val="CommentText"/>
              <w:rPr>
                <w:rFonts w:ascii="Times New Roman" w:hAnsi="Times New Roman" w:cs="Times New Roman"/>
                <w:b/>
                <w:i/>
                <w:sz w:val="22"/>
                <w:szCs w:val="22"/>
                <w:u w:val="single"/>
              </w:rPr>
            </w:pPr>
          </w:p>
          <w:p w14:paraId="3D82EC0D" w14:textId="2B310923" w:rsidR="00886223" w:rsidRPr="00F66630" w:rsidRDefault="00886223" w:rsidP="00395C93">
            <w:pPr>
              <w:jc w:val="both"/>
              <w:rPr>
                <w:rFonts w:ascii="Times New Roman" w:eastAsia="Times New Roman" w:hAnsi="Times New Roman" w:cs="Times New Roman"/>
                <w:color w:val="000000"/>
              </w:rPr>
            </w:pPr>
            <w:r w:rsidRPr="00F66630">
              <w:rPr>
                <w:rFonts w:ascii="Times New Roman" w:eastAsia="Times New Roman" w:hAnsi="Times New Roman" w:cs="Times New Roman"/>
                <w:color w:val="000000"/>
              </w:rPr>
              <w:t>The IVA will review information published online by the State before and up to the deadline date for the online publication of the documents specified, and carry out the following</w:t>
            </w:r>
            <w:r w:rsidR="00694CBD" w:rsidRPr="00F66630">
              <w:rPr>
                <w:rFonts w:ascii="Times New Roman" w:eastAsia="Times New Roman" w:hAnsi="Times New Roman" w:cs="Times New Roman"/>
                <w:color w:val="000000"/>
              </w:rPr>
              <w:t>:</w:t>
            </w:r>
          </w:p>
          <w:p w14:paraId="27503D4B" w14:textId="038DCB00" w:rsidR="00886223" w:rsidRPr="00F66630" w:rsidRDefault="00625BB5" w:rsidP="008E23FD">
            <w:pPr>
              <w:pStyle w:val="CommentText"/>
              <w:numPr>
                <w:ilvl w:val="0"/>
                <w:numId w:val="10"/>
              </w:numPr>
              <w:rPr>
                <w:rFonts w:ascii="Times New Roman" w:hAnsi="Times New Roman" w:cs="Times New Roman"/>
                <w:sz w:val="22"/>
                <w:szCs w:val="22"/>
              </w:rPr>
            </w:pPr>
            <w:r w:rsidRPr="00F66630">
              <w:rPr>
                <w:rFonts w:ascii="Times New Roman" w:hAnsi="Times New Roman" w:cs="Times New Roman"/>
                <w:sz w:val="22"/>
                <w:szCs w:val="22"/>
              </w:rPr>
              <w:t>D</w:t>
            </w:r>
            <w:r w:rsidR="00886223" w:rsidRPr="00F66630">
              <w:rPr>
                <w:rFonts w:ascii="Times New Roman" w:hAnsi="Times New Roman" w:cs="Times New Roman"/>
                <w:sz w:val="22"/>
                <w:szCs w:val="22"/>
              </w:rPr>
              <w:t>ownload the Quarterly Budget implementation Reports for all four quarters of the year under assessment.</w:t>
            </w:r>
          </w:p>
          <w:p w14:paraId="54BA6416" w14:textId="11B06A81" w:rsidR="00FC52E2" w:rsidRPr="00F66630" w:rsidRDefault="00886223" w:rsidP="008E23FD">
            <w:pPr>
              <w:pStyle w:val="CommentText"/>
              <w:numPr>
                <w:ilvl w:val="0"/>
                <w:numId w:val="10"/>
              </w:numPr>
              <w:rPr>
                <w:rFonts w:ascii="Times New Roman" w:hAnsi="Times New Roman" w:cs="Times New Roman"/>
                <w:sz w:val="22"/>
                <w:szCs w:val="22"/>
              </w:rPr>
            </w:pPr>
            <w:r w:rsidRPr="00F66630">
              <w:rPr>
                <w:rFonts w:ascii="Times New Roman" w:hAnsi="Times New Roman" w:cs="Times New Roman"/>
                <w:sz w:val="22"/>
                <w:szCs w:val="22"/>
              </w:rPr>
              <w:t xml:space="preserve">For each quarterly report, confirm the dates of posting to the </w:t>
            </w:r>
            <w:r w:rsidR="00663882" w:rsidRPr="00F66630">
              <w:rPr>
                <w:rFonts w:ascii="Times New Roman" w:hAnsi="Times New Roman" w:cs="Times New Roman"/>
                <w:sz w:val="22"/>
                <w:szCs w:val="22"/>
              </w:rPr>
              <w:t>State official website</w:t>
            </w:r>
            <w:r w:rsidRPr="00F66630">
              <w:rPr>
                <w:rFonts w:ascii="Times New Roman" w:hAnsi="Times New Roman" w:cs="Times New Roman"/>
                <w:sz w:val="22"/>
                <w:szCs w:val="22"/>
              </w:rPr>
              <w:t xml:space="preserve"> and evidence of posting on the stated dates. Confirmation will be through a timestamp showing the date of publication (or through evidence obtained from the State IT Service provider). </w:t>
            </w:r>
          </w:p>
          <w:p w14:paraId="13DA105F" w14:textId="0624AC7E" w:rsidR="00FC52E2" w:rsidRPr="00F66630" w:rsidRDefault="00FC52E2" w:rsidP="008E23FD">
            <w:pPr>
              <w:pStyle w:val="CommentText"/>
              <w:numPr>
                <w:ilvl w:val="0"/>
                <w:numId w:val="10"/>
              </w:numPr>
              <w:rPr>
                <w:rFonts w:ascii="Times New Roman" w:hAnsi="Times New Roman" w:cs="Times New Roman"/>
                <w:sz w:val="22"/>
                <w:szCs w:val="22"/>
              </w:rPr>
            </w:pPr>
            <w:r w:rsidRPr="00F66630">
              <w:rPr>
                <w:rFonts w:ascii="Times New Roman" w:hAnsi="Times New Roman" w:cs="Times New Roman"/>
                <w:sz w:val="22"/>
                <w:szCs w:val="22"/>
              </w:rPr>
              <w:t>Calculat</w:t>
            </w:r>
            <w:r w:rsidR="00C07587" w:rsidRPr="00F66630">
              <w:rPr>
                <w:rFonts w:ascii="Times New Roman" w:hAnsi="Times New Roman" w:cs="Times New Roman"/>
                <w:sz w:val="22"/>
                <w:szCs w:val="22"/>
              </w:rPr>
              <w:t xml:space="preserve">e </w:t>
            </w:r>
            <w:r w:rsidR="00AE583B" w:rsidRPr="00F66630">
              <w:rPr>
                <w:rFonts w:ascii="Times New Roman" w:hAnsi="Times New Roman" w:cs="Times New Roman"/>
                <w:sz w:val="22"/>
                <w:szCs w:val="22"/>
              </w:rPr>
              <w:t xml:space="preserve">the average time taken to publish the quarterly reports for the year. </w:t>
            </w:r>
          </w:p>
          <w:p w14:paraId="7228A9F6" w14:textId="258ABA92" w:rsidR="00AE583B" w:rsidRPr="00F66630" w:rsidRDefault="00AE583B" w:rsidP="0077414C">
            <w:pPr>
              <w:pStyle w:val="CommentText"/>
              <w:numPr>
                <w:ilvl w:val="1"/>
                <w:numId w:val="10"/>
              </w:numPr>
              <w:rPr>
                <w:rFonts w:ascii="Times New Roman" w:hAnsi="Times New Roman" w:cs="Times New Roman"/>
                <w:sz w:val="22"/>
                <w:szCs w:val="22"/>
              </w:rPr>
            </w:pPr>
            <w:r w:rsidRPr="00F66630">
              <w:rPr>
                <w:rFonts w:ascii="Times New Roman" w:hAnsi="Times New Roman" w:cs="Times New Roman"/>
                <w:sz w:val="22"/>
                <w:szCs w:val="22"/>
              </w:rPr>
              <w:lastRenderedPageBreak/>
              <w:t>For the 2019 APA, the average time taken should be six weeks or less after the end of the quarter</w:t>
            </w:r>
          </w:p>
          <w:p w14:paraId="07270B1E" w14:textId="2A5EBDC1" w:rsidR="00AE583B" w:rsidRPr="00F66630" w:rsidRDefault="00AE583B" w:rsidP="0077414C">
            <w:pPr>
              <w:pStyle w:val="CommentText"/>
              <w:numPr>
                <w:ilvl w:val="1"/>
                <w:numId w:val="10"/>
              </w:numPr>
              <w:rPr>
                <w:rFonts w:ascii="Times New Roman" w:hAnsi="Times New Roman" w:cs="Times New Roman"/>
                <w:sz w:val="22"/>
                <w:szCs w:val="22"/>
              </w:rPr>
            </w:pPr>
            <w:r w:rsidRPr="00F66630">
              <w:rPr>
                <w:rFonts w:ascii="Times New Roman" w:hAnsi="Times New Roman" w:cs="Times New Roman"/>
                <w:sz w:val="22"/>
                <w:szCs w:val="22"/>
              </w:rPr>
              <w:t>For the 2020 APA, the average time taken should be four weeks or less after the end of the quarter</w:t>
            </w:r>
            <w:r w:rsidR="0014265C" w:rsidRPr="00F66630">
              <w:rPr>
                <w:rFonts w:ascii="Times New Roman" w:hAnsi="Times New Roman" w:cs="Times New Roman"/>
                <w:sz w:val="22"/>
                <w:szCs w:val="22"/>
              </w:rPr>
              <w:t xml:space="preserve"> for Q2, Q3 and Q4 reports</w:t>
            </w:r>
          </w:p>
          <w:p w14:paraId="6D960C19" w14:textId="0B7143A8" w:rsidR="0014265C" w:rsidRPr="00F66630" w:rsidRDefault="0014265C" w:rsidP="0014265C">
            <w:pPr>
              <w:pStyle w:val="CommentText"/>
              <w:numPr>
                <w:ilvl w:val="1"/>
                <w:numId w:val="10"/>
              </w:numPr>
              <w:rPr>
                <w:rFonts w:ascii="Times New Roman" w:hAnsi="Times New Roman" w:cs="Times New Roman"/>
                <w:sz w:val="22"/>
                <w:szCs w:val="22"/>
              </w:rPr>
            </w:pPr>
            <w:r w:rsidRPr="00F66630">
              <w:rPr>
                <w:rFonts w:ascii="Times New Roman" w:hAnsi="Times New Roman" w:cs="Times New Roman"/>
                <w:sz w:val="22"/>
                <w:szCs w:val="22"/>
              </w:rPr>
              <w:t>For the 2021 APA, the average time taken should be four weeks or less after the end of the quarter</w:t>
            </w:r>
          </w:p>
          <w:p w14:paraId="20E22498" w14:textId="21483CE2" w:rsidR="00886223" w:rsidRPr="00F66630" w:rsidRDefault="00886223" w:rsidP="008E23FD">
            <w:pPr>
              <w:pStyle w:val="CommentText"/>
              <w:numPr>
                <w:ilvl w:val="0"/>
                <w:numId w:val="10"/>
              </w:numPr>
              <w:rPr>
                <w:rFonts w:ascii="Times New Roman" w:hAnsi="Times New Roman" w:cs="Times New Roman"/>
                <w:sz w:val="22"/>
                <w:szCs w:val="22"/>
              </w:rPr>
            </w:pPr>
            <w:r w:rsidRPr="00F66630">
              <w:rPr>
                <w:rFonts w:ascii="Times New Roman" w:hAnsi="Times New Roman" w:cs="Times New Roman"/>
                <w:sz w:val="22"/>
                <w:szCs w:val="22"/>
              </w:rPr>
              <w:t xml:space="preserve">Confirm that the reports each include, at a minimum, the approved </w:t>
            </w:r>
            <w:r w:rsidR="001D0A1C" w:rsidRPr="00F66630">
              <w:rPr>
                <w:rFonts w:ascii="Times New Roman" w:hAnsi="Times New Roman" w:cs="Times New Roman"/>
                <w:sz w:val="22"/>
                <w:szCs w:val="22"/>
              </w:rPr>
              <w:t xml:space="preserve">original </w:t>
            </w:r>
            <w:r w:rsidR="00625BB5" w:rsidRPr="00F66630">
              <w:rPr>
                <w:rFonts w:ascii="Times New Roman" w:hAnsi="Times New Roman" w:cs="Times New Roman"/>
                <w:sz w:val="22"/>
                <w:szCs w:val="22"/>
              </w:rPr>
              <w:t xml:space="preserve">AND revised (if applicable) </w:t>
            </w:r>
            <w:r w:rsidRPr="00F66630">
              <w:rPr>
                <w:rFonts w:ascii="Times New Roman" w:hAnsi="Times New Roman" w:cs="Times New Roman"/>
                <w:sz w:val="22"/>
                <w:szCs w:val="22"/>
              </w:rPr>
              <w:t>budget appropriation for the year against each organizational units (MDAs) for each of the core economic classification of expenditures (Personnel, Overheads, Capital, and others), the actual expenditures for the quarter attributed to each as well as the cumulative expenditures for year to date, and balances against each of the revenue and expenditure appropriations.</w:t>
            </w:r>
          </w:p>
          <w:p w14:paraId="7BFEE947" w14:textId="77777777" w:rsidR="00022990" w:rsidRPr="00F66630" w:rsidRDefault="00886223" w:rsidP="0082559F">
            <w:pPr>
              <w:pStyle w:val="CommentText"/>
              <w:numPr>
                <w:ilvl w:val="0"/>
                <w:numId w:val="10"/>
              </w:numPr>
              <w:rPr>
                <w:rFonts w:ascii="Times New Roman" w:hAnsi="Times New Roman" w:cs="Times New Roman"/>
                <w:sz w:val="22"/>
                <w:szCs w:val="22"/>
              </w:rPr>
            </w:pPr>
            <w:r w:rsidRPr="00F66630">
              <w:rPr>
                <w:rFonts w:ascii="Times New Roman" w:hAnsi="Times New Roman" w:cs="Times New Roman"/>
                <w:sz w:val="22"/>
                <w:szCs w:val="22"/>
              </w:rPr>
              <w:t xml:space="preserve">Confirm that the information above is also provided on a consolidated basis across the four (4) economic classifications for the entire state.  Note that ‘Other Expenditures’ will include debt servicing, and transfers, or other expenditures not attributable to any of the other </w:t>
            </w:r>
            <w:r w:rsidR="009D3177" w:rsidRPr="00F66630">
              <w:rPr>
                <w:rFonts w:ascii="Times New Roman" w:hAnsi="Times New Roman" w:cs="Times New Roman"/>
                <w:sz w:val="22"/>
                <w:szCs w:val="22"/>
              </w:rPr>
              <w:t>three (</w:t>
            </w:r>
            <w:r w:rsidRPr="00F66630">
              <w:rPr>
                <w:rFonts w:ascii="Times New Roman" w:hAnsi="Times New Roman" w:cs="Times New Roman"/>
                <w:sz w:val="22"/>
                <w:szCs w:val="22"/>
              </w:rPr>
              <w:t>3</w:t>
            </w:r>
            <w:r w:rsidR="009D3177" w:rsidRPr="00F66630">
              <w:rPr>
                <w:rFonts w:ascii="Times New Roman" w:hAnsi="Times New Roman" w:cs="Times New Roman"/>
                <w:sz w:val="22"/>
                <w:szCs w:val="22"/>
              </w:rPr>
              <w:t>)</w:t>
            </w:r>
            <w:r w:rsidRPr="00F66630">
              <w:rPr>
                <w:rFonts w:ascii="Times New Roman" w:hAnsi="Times New Roman" w:cs="Times New Roman"/>
                <w:sz w:val="22"/>
                <w:szCs w:val="22"/>
              </w:rPr>
              <w:t xml:space="preserve"> economic classifications.  </w:t>
            </w:r>
          </w:p>
          <w:p w14:paraId="701334F5" w14:textId="634F806E" w:rsidR="009C154A" w:rsidRPr="00F66630" w:rsidRDefault="009C154A" w:rsidP="009C154A">
            <w:pPr>
              <w:pStyle w:val="CommentText"/>
              <w:ind w:left="720"/>
              <w:rPr>
                <w:rFonts w:ascii="Times New Roman" w:hAnsi="Times New Roman" w:cs="Times New Roman"/>
                <w:sz w:val="22"/>
                <w:szCs w:val="22"/>
              </w:rPr>
            </w:pPr>
          </w:p>
        </w:tc>
      </w:tr>
      <w:tr w:rsidR="007D562A" w:rsidRPr="00F66630" w14:paraId="6D1EA67C" w14:textId="77777777" w:rsidTr="00176CC2">
        <w:trPr>
          <w:trHeight w:val="470"/>
        </w:trPr>
        <w:tc>
          <w:tcPr>
            <w:tcW w:w="881" w:type="pct"/>
            <w:shd w:val="clear" w:color="auto" w:fill="FDE9D9" w:themeFill="accent6" w:themeFillTint="33"/>
          </w:tcPr>
          <w:p w14:paraId="7A95D89D" w14:textId="2F9915D9" w:rsidR="007D562A" w:rsidRPr="00F66630" w:rsidRDefault="00321EC5" w:rsidP="007D562A">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4119" w:type="pct"/>
            <w:shd w:val="clear" w:color="auto" w:fill="FDE9D9" w:themeFill="accent6" w:themeFillTint="33"/>
          </w:tcPr>
          <w:p w14:paraId="61A409F3" w14:textId="210EDC07"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86223" w:rsidRPr="00F66630" w14:paraId="0D459F7F" w14:textId="77777777" w:rsidTr="00176CC2">
        <w:tc>
          <w:tcPr>
            <w:tcW w:w="881" w:type="pct"/>
          </w:tcPr>
          <w:p w14:paraId="3C51DA41" w14:textId="76DB3EA3" w:rsidR="00886223" w:rsidRPr="00F66630" w:rsidRDefault="00886223" w:rsidP="00395C93">
            <w:pPr>
              <w:rPr>
                <w:rFonts w:ascii="Times New Roman" w:eastAsia="Times New Roman" w:hAnsi="Times New Roman" w:cs="Times New Roman"/>
                <w:b/>
                <w:bCs/>
              </w:rPr>
            </w:pPr>
            <w:r w:rsidRPr="00F66630">
              <w:rPr>
                <w:rFonts w:ascii="Times New Roman" w:eastAsia="Times New Roman" w:hAnsi="Times New Roman" w:cs="Times New Roman"/>
                <w:b/>
                <w:bCs/>
              </w:rPr>
              <w:t>1.2. FY[x] deviation from total budget expenditure</w:t>
            </w:r>
            <w:r w:rsidR="00AE583B" w:rsidRPr="00F66630">
              <w:rPr>
                <w:rFonts w:ascii="Times New Roman" w:eastAsia="Times New Roman" w:hAnsi="Times New Roman" w:cs="Times New Roman"/>
                <w:b/>
                <w:bCs/>
              </w:rPr>
              <w:t xml:space="preserve"> is less than [x]%</w:t>
            </w:r>
          </w:p>
          <w:p w14:paraId="4DFF949E" w14:textId="43BCC802" w:rsidR="00AE583B" w:rsidRPr="00F66630" w:rsidRDefault="00AE583B" w:rsidP="00395C93">
            <w:pPr>
              <w:rPr>
                <w:rFonts w:ascii="Times New Roman" w:eastAsia="Times New Roman" w:hAnsi="Times New Roman" w:cs="Times New Roman"/>
                <w:color w:val="000000"/>
              </w:rPr>
            </w:pPr>
          </w:p>
        </w:tc>
        <w:tc>
          <w:tcPr>
            <w:tcW w:w="4119" w:type="pct"/>
          </w:tcPr>
          <w:p w14:paraId="0582A60F" w14:textId="5D5CAEC5" w:rsidR="00886223" w:rsidRPr="00F66630" w:rsidRDefault="00B00215" w:rsidP="00880306">
            <w:pPr>
              <w:jc w:val="both"/>
              <w:rPr>
                <w:rFonts w:ascii="Times New Roman" w:hAnsi="Times New Roman" w:cs="Times New Roman"/>
              </w:rPr>
            </w:pPr>
            <w:r w:rsidRPr="00F66630">
              <w:rPr>
                <w:rFonts w:ascii="Times New Roman" w:eastAsia="Times New Roman" w:hAnsi="Times New Roman" w:cs="Times New Roman"/>
                <w:color w:val="000000"/>
              </w:rPr>
              <w:t xml:space="preserve">For 2019 and 2021, </w:t>
            </w:r>
            <w:r w:rsidR="008B3970" w:rsidRPr="00F66630">
              <w:rPr>
                <w:rFonts w:ascii="Times New Roman" w:eastAsia="Times New Roman" w:hAnsi="Times New Roman" w:cs="Times New Roman"/>
                <w:color w:val="000000"/>
              </w:rPr>
              <w:t>the e</w:t>
            </w:r>
            <w:r w:rsidR="00886223" w:rsidRPr="00F66630">
              <w:rPr>
                <w:rFonts w:ascii="Times New Roman" w:eastAsia="Times New Roman" w:hAnsi="Times New Roman" w:cs="Times New Roman"/>
                <w:color w:val="000000"/>
              </w:rPr>
              <w:t>xpenditure outturn deviation is computed as the difference between the original approved total budget</w:t>
            </w:r>
            <w:r w:rsidR="00880306" w:rsidRPr="00F66630">
              <w:rPr>
                <w:rFonts w:ascii="Times New Roman" w:eastAsia="Times New Roman" w:hAnsi="Times New Roman" w:cs="Times New Roman"/>
                <w:color w:val="000000"/>
              </w:rPr>
              <w:t>ed</w:t>
            </w:r>
            <w:r w:rsidR="00886223" w:rsidRPr="00F66630">
              <w:rPr>
                <w:rFonts w:ascii="Times New Roman" w:eastAsia="Times New Roman" w:hAnsi="Times New Roman" w:cs="Times New Roman"/>
                <w:color w:val="000000"/>
              </w:rPr>
              <w:t xml:space="preserve"> expenditure </w:t>
            </w:r>
            <w:r w:rsidR="00880306" w:rsidRPr="00F66630">
              <w:rPr>
                <w:rFonts w:ascii="Times New Roman" w:eastAsia="Times New Roman" w:hAnsi="Times New Roman" w:cs="Times New Roman"/>
                <w:color w:val="000000"/>
              </w:rPr>
              <w:t xml:space="preserve">for the fiscal year </w:t>
            </w:r>
            <w:r w:rsidR="00886223" w:rsidRPr="00F66630">
              <w:rPr>
                <w:rFonts w:ascii="Times New Roman" w:eastAsia="Times New Roman" w:hAnsi="Times New Roman" w:cs="Times New Roman"/>
                <w:color w:val="000000"/>
              </w:rPr>
              <w:t>and the actual total expenditure</w:t>
            </w:r>
            <w:r w:rsidR="00880306" w:rsidRPr="00F66630">
              <w:rPr>
                <w:rFonts w:ascii="Times New Roman" w:eastAsia="Times New Roman" w:hAnsi="Times New Roman" w:cs="Times New Roman"/>
                <w:color w:val="000000"/>
              </w:rPr>
              <w:t xml:space="preserve"> in the fiscal year</w:t>
            </w:r>
            <w:r w:rsidR="00886223" w:rsidRPr="00F66630">
              <w:rPr>
                <w:rFonts w:ascii="Times New Roman" w:eastAsia="Times New Roman" w:hAnsi="Times New Roman" w:cs="Times New Roman"/>
                <w:color w:val="000000"/>
              </w:rPr>
              <w:t>, divided by the original approved total budget</w:t>
            </w:r>
            <w:r w:rsidR="00880306" w:rsidRPr="00F66630">
              <w:rPr>
                <w:rFonts w:ascii="Times New Roman" w:eastAsia="Times New Roman" w:hAnsi="Times New Roman" w:cs="Times New Roman"/>
                <w:color w:val="000000"/>
              </w:rPr>
              <w:t>ed</w:t>
            </w:r>
            <w:r w:rsidR="00886223" w:rsidRPr="00F66630">
              <w:rPr>
                <w:rFonts w:ascii="Times New Roman" w:eastAsia="Times New Roman" w:hAnsi="Times New Roman" w:cs="Times New Roman"/>
                <w:color w:val="000000"/>
              </w:rPr>
              <w:t xml:space="preserve"> expenditure, and expressed in positive percentage terms. The deviation should be less than the percentage defined for each </w:t>
            </w:r>
            <w:r w:rsidR="00880306" w:rsidRPr="00F66630">
              <w:rPr>
                <w:rFonts w:ascii="Times New Roman" w:eastAsia="Times New Roman" w:hAnsi="Times New Roman" w:cs="Times New Roman"/>
                <w:color w:val="000000"/>
              </w:rPr>
              <w:t xml:space="preserve">year </w:t>
            </w:r>
            <w:r w:rsidR="00AE583B" w:rsidRPr="00F66630">
              <w:rPr>
                <w:rFonts w:ascii="Times New Roman" w:eastAsia="Times New Roman" w:hAnsi="Times New Roman" w:cs="Times New Roman"/>
                <w:color w:val="000000"/>
              </w:rPr>
              <w:t xml:space="preserve">of the Program </w:t>
            </w:r>
            <w:r w:rsidR="00663882" w:rsidRPr="00F66630">
              <w:rPr>
                <w:rFonts w:ascii="Times New Roman" w:eastAsia="Times New Roman" w:hAnsi="Times New Roman" w:cs="Times New Roman"/>
                <w:color w:val="000000"/>
              </w:rPr>
              <w:t xml:space="preserve">in the DLI Matrix </w:t>
            </w:r>
            <w:r w:rsidR="00880306" w:rsidRPr="00F66630">
              <w:rPr>
                <w:rFonts w:ascii="Times New Roman" w:eastAsia="Times New Roman" w:hAnsi="Times New Roman" w:cs="Times New Roman"/>
                <w:color w:val="000000"/>
              </w:rPr>
              <w:t>(25%</w:t>
            </w:r>
            <w:r w:rsidR="00A41CBD" w:rsidRPr="00F66630">
              <w:rPr>
                <w:rFonts w:ascii="Times New Roman" w:eastAsia="Times New Roman" w:hAnsi="Times New Roman" w:cs="Times New Roman"/>
                <w:color w:val="000000"/>
              </w:rPr>
              <w:t xml:space="preserve"> in 2019 and 15% in </w:t>
            </w:r>
            <w:r w:rsidR="00880306" w:rsidRPr="00F66630">
              <w:rPr>
                <w:rFonts w:ascii="Times New Roman" w:eastAsia="Times New Roman" w:hAnsi="Times New Roman" w:cs="Times New Roman"/>
                <w:color w:val="000000"/>
              </w:rPr>
              <w:t>2021).</w:t>
            </w:r>
            <w:r w:rsidR="00663882" w:rsidRPr="00F66630">
              <w:rPr>
                <w:rFonts w:ascii="Times New Roman" w:hAnsi="Times New Roman" w:cs="Times New Roman"/>
              </w:rPr>
              <w:t xml:space="preserve"> </w:t>
            </w:r>
          </w:p>
          <w:p w14:paraId="167A8B56" w14:textId="77777777" w:rsidR="001B177B" w:rsidRPr="00F66630" w:rsidRDefault="001B177B" w:rsidP="00880306">
            <w:pPr>
              <w:jc w:val="both"/>
              <w:rPr>
                <w:rFonts w:ascii="Times New Roman" w:hAnsi="Times New Roman" w:cs="Times New Roman"/>
              </w:rPr>
            </w:pPr>
          </w:p>
          <w:p w14:paraId="7A07DC79" w14:textId="0E636731" w:rsidR="00F5798D" w:rsidRPr="00F66630" w:rsidRDefault="00F5798D" w:rsidP="00880306">
            <w:pPr>
              <w:jc w:val="both"/>
              <w:rPr>
                <w:rFonts w:ascii="Times New Roman" w:eastAsia="Times New Roman" w:hAnsi="Times New Roman" w:cs="Times New Roman"/>
                <w:color w:val="000000"/>
              </w:rPr>
            </w:pPr>
            <w:r w:rsidRPr="00F66630">
              <w:rPr>
                <w:rFonts w:ascii="Times New Roman" w:hAnsi="Times New Roman" w:cs="Times New Roman"/>
              </w:rPr>
              <w:t xml:space="preserve">For 2020, the </w:t>
            </w:r>
            <w:r w:rsidRPr="00F66630">
              <w:rPr>
                <w:rFonts w:ascii="Times New Roman" w:eastAsia="Times New Roman" w:hAnsi="Times New Roman" w:cs="Times New Roman"/>
                <w:color w:val="000000"/>
              </w:rPr>
              <w:t>expenditure outturn deviation is computed as the difference between the approved total amended budget</w:t>
            </w:r>
            <w:r w:rsidR="00711BFA" w:rsidRPr="00F66630">
              <w:rPr>
                <w:rFonts w:ascii="Times New Roman" w:eastAsia="Times New Roman" w:hAnsi="Times New Roman" w:cs="Times New Roman"/>
                <w:color w:val="000000"/>
              </w:rPr>
              <w:t>ed</w:t>
            </w:r>
            <w:r w:rsidRPr="00F66630">
              <w:rPr>
                <w:rFonts w:ascii="Times New Roman" w:eastAsia="Times New Roman" w:hAnsi="Times New Roman" w:cs="Times New Roman"/>
                <w:color w:val="000000"/>
              </w:rPr>
              <w:t xml:space="preserve"> expenditure for the fiscal year and the actual total expenditure in the fiscal year, divided by the approved total</w:t>
            </w:r>
            <w:r w:rsidR="00711BFA" w:rsidRPr="00F66630">
              <w:rPr>
                <w:rFonts w:ascii="Times New Roman" w:eastAsia="Times New Roman" w:hAnsi="Times New Roman" w:cs="Times New Roman"/>
                <w:color w:val="000000"/>
              </w:rPr>
              <w:t xml:space="preserve"> amended</w:t>
            </w:r>
            <w:r w:rsidRPr="00F66630">
              <w:rPr>
                <w:rFonts w:ascii="Times New Roman" w:eastAsia="Times New Roman" w:hAnsi="Times New Roman" w:cs="Times New Roman"/>
                <w:color w:val="000000"/>
              </w:rPr>
              <w:t xml:space="preserve"> budgeted expenditure, and expressed in positive percentage terms. The deviation should be less than 15%</w:t>
            </w:r>
            <w:r w:rsidR="00A41CBD" w:rsidRPr="00F66630">
              <w:rPr>
                <w:rFonts w:ascii="Times New Roman" w:eastAsia="Times New Roman" w:hAnsi="Times New Roman" w:cs="Times New Roman"/>
                <w:color w:val="000000"/>
              </w:rPr>
              <w:t>.</w:t>
            </w:r>
          </w:p>
          <w:p w14:paraId="41F9273F" w14:textId="77777777" w:rsidR="001B177B" w:rsidRPr="00F66630" w:rsidRDefault="001B177B" w:rsidP="00880306">
            <w:pPr>
              <w:jc w:val="both"/>
              <w:rPr>
                <w:rFonts w:ascii="Times New Roman" w:eastAsia="Times New Roman" w:hAnsi="Times New Roman" w:cs="Times New Roman"/>
                <w:color w:val="000000"/>
              </w:rPr>
            </w:pPr>
          </w:p>
          <w:p w14:paraId="59394F8D" w14:textId="77777777" w:rsidR="00022990" w:rsidRPr="00F66630" w:rsidRDefault="001B177B" w:rsidP="00880306">
            <w:pPr>
              <w:jc w:val="both"/>
              <w:rPr>
                <w:rFonts w:eastAsia="Times New Roman" w:cstheme="minorHAnsi"/>
                <w:bCs/>
                <w:iCs/>
              </w:rPr>
            </w:pPr>
            <w:r w:rsidRPr="00F66630">
              <w:rPr>
                <w:rFonts w:ascii="Times New Roman" w:eastAsia="Times New Roman" w:hAnsi="Times New Roman" w:cs="Times New Roman"/>
                <w:color w:val="000000"/>
              </w:rPr>
              <w:t>Total expenditure includes total recurrent expenditure and total capital expenditure. Total recurrent expenditure includes debt servicing (also called financial charges/debt repayments), which typically include both interest and principal repayments. From a fiscal perspective, interest payments are above the line</w:t>
            </w:r>
            <w:r w:rsidR="00D2771A" w:rsidRPr="00F66630">
              <w:rPr>
                <w:rFonts w:ascii="Times New Roman" w:eastAsia="Times New Roman" w:hAnsi="Times New Roman" w:cs="Times New Roman"/>
                <w:color w:val="000000"/>
              </w:rPr>
              <w:t xml:space="preserve">/ budget </w:t>
            </w:r>
            <w:r w:rsidRPr="00F66630">
              <w:rPr>
                <w:rFonts w:ascii="Times New Roman" w:eastAsia="Times New Roman" w:hAnsi="Times New Roman" w:cs="Times New Roman"/>
                <w:color w:val="000000"/>
              </w:rPr>
              <w:t>expenditures, while principal repayments are</w:t>
            </w:r>
            <w:r w:rsidR="00D2771A" w:rsidRPr="00F66630">
              <w:rPr>
                <w:rFonts w:ascii="Times New Roman" w:eastAsia="Times New Roman" w:hAnsi="Times New Roman" w:cs="Times New Roman"/>
                <w:color w:val="000000"/>
              </w:rPr>
              <w:t xml:space="preserve"> considered</w:t>
            </w:r>
            <w:r w:rsidRPr="00F66630">
              <w:rPr>
                <w:rFonts w:ascii="Times New Roman" w:eastAsia="Times New Roman" w:hAnsi="Times New Roman" w:cs="Times New Roman"/>
                <w:color w:val="000000"/>
              </w:rPr>
              <w:t xml:space="preserve"> below the line financing items. However</w:t>
            </w:r>
            <w:r w:rsidR="00D2771A" w:rsidRPr="00F66630">
              <w:rPr>
                <w:rFonts w:ascii="Times New Roman" w:eastAsia="Times New Roman" w:hAnsi="Times New Roman" w:cs="Times New Roman"/>
                <w:color w:val="000000"/>
              </w:rPr>
              <w:t xml:space="preserve">, </w:t>
            </w:r>
            <w:r w:rsidRPr="00F66630">
              <w:rPr>
                <w:rFonts w:ascii="Times New Roman" w:eastAsia="Times New Roman" w:hAnsi="Times New Roman" w:cs="Times New Roman"/>
                <w:color w:val="000000"/>
              </w:rPr>
              <w:t xml:space="preserve">typically debt </w:t>
            </w:r>
            <w:r w:rsidR="00D2771A" w:rsidRPr="00F66630">
              <w:rPr>
                <w:rFonts w:ascii="Times New Roman" w:eastAsia="Times New Roman" w:hAnsi="Times New Roman" w:cs="Times New Roman"/>
                <w:color w:val="000000"/>
              </w:rPr>
              <w:t xml:space="preserve">servicing is </w:t>
            </w:r>
            <w:r w:rsidRPr="00F66630">
              <w:rPr>
                <w:rFonts w:ascii="Times New Roman" w:eastAsia="Times New Roman" w:hAnsi="Times New Roman" w:cs="Times New Roman"/>
                <w:color w:val="000000"/>
              </w:rPr>
              <w:t>not disaggregated so</w:t>
            </w:r>
            <w:r w:rsidR="0082559F" w:rsidRPr="00F66630">
              <w:rPr>
                <w:rFonts w:ascii="Times New Roman" w:eastAsia="Times New Roman" w:hAnsi="Times New Roman" w:cs="Times New Roman"/>
                <w:color w:val="000000"/>
              </w:rPr>
              <w:t xml:space="preserve"> for the purpose of this DLI, </w:t>
            </w:r>
            <w:r w:rsidRPr="00F66630">
              <w:rPr>
                <w:rFonts w:ascii="Times New Roman" w:eastAsia="Times New Roman" w:hAnsi="Times New Roman" w:cs="Times New Roman"/>
                <w:color w:val="000000"/>
              </w:rPr>
              <w:t xml:space="preserve">total debt </w:t>
            </w:r>
            <w:r w:rsidR="00D2771A" w:rsidRPr="00F66630">
              <w:rPr>
                <w:rFonts w:ascii="Times New Roman" w:eastAsia="Times New Roman" w:hAnsi="Times New Roman" w:cs="Times New Roman"/>
                <w:color w:val="000000"/>
              </w:rPr>
              <w:t>servicing</w:t>
            </w:r>
            <w:r w:rsidR="00283677" w:rsidRPr="00F66630">
              <w:rPr>
                <w:rFonts w:ascii="Times New Roman" w:eastAsia="Times New Roman" w:hAnsi="Times New Roman" w:cs="Times New Roman"/>
                <w:color w:val="000000"/>
              </w:rPr>
              <w:t xml:space="preserve"> including interest and principal repayments is to be included</w:t>
            </w:r>
            <w:r w:rsidR="00D2771A" w:rsidRPr="00F66630">
              <w:rPr>
                <w:rFonts w:ascii="Times New Roman" w:eastAsia="Times New Roman" w:hAnsi="Times New Roman" w:cs="Times New Roman"/>
                <w:color w:val="000000"/>
              </w:rPr>
              <w:t xml:space="preserve"> </w:t>
            </w:r>
            <w:r w:rsidRPr="00F66630">
              <w:rPr>
                <w:rFonts w:ascii="Times New Roman" w:eastAsia="Times New Roman" w:hAnsi="Times New Roman" w:cs="Times New Roman"/>
                <w:color w:val="000000"/>
              </w:rPr>
              <w:t>in recurrent expenditure in both the budget and actual components of the calculation for a like to like comparison.</w:t>
            </w:r>
            <w:r w:rsidRPr="00F66630">
              <w:rPr>
                <w:rFonts w:eastAsia="Times New Roman" w:cstheme="minorHAnsi"/>
                <w:bCs/>
                <w:iCs/>
              </w:rPr>
              <w:t xml:space="preserve"> </w:t>
            </w:r>
          </w:p>
          <w:p w14:paraId="695216E8" w14:textId="7D484984" w:rsidR="009C154A" w:rsidRPr="00F66630" w:rsidRDefault="009C154A" w:rsidP="00880306">
            <w:pPr>
              <w:jc w:val="both"/>
              <w:rPr>
                <w:rFonts w:ascii="Times New Roman" w:hAnsi="Times New Roman" w:cs="Times New Roman"/>
              </w:rPr>
            </w:pPr>
          </w:p>
        </w:tc>
      </w:tr>
      <w:tr w:rsidR="00B301D1" w:rsidRPr="00F66630" w14:paraId="0503EE9F" w14:textId="77777777" w:rsidTr="00DC1205">
        <w:tc>
          <w:tcPr>
            <w:tcW w:w="5000" w:type="pct"/>
            <w:gridSpan w:val="2"/>
            <w:shd w:val="clear" w:color="auto" w:fill="FDE9D9" w:themeFill="accent6" w:themeFillTint="33"/>
          </w:tcPr>
          <w:p w14:paraId="4B7FE869" w14:textId="236AD0D4" w:rsidR="00B301D1" w:rsidRPr="00F66630" w:rsidRDefault="00B301D1" w:rsidP="00DE4E0B">
            <w:pPr>
              <w:rPr>
                <w:rFonts w:ascii="Times New Roman" w:hAnsi="Times New Roman" w:cs="Times New Roman"/>
                <w:b/>
                <w:i/>
              </w:rPr>
            </w:pPr>
            <w:r w:rsidRPr="00F66630">
              <w:rPr>
                <w:rFonts w:ascii="Times New Roman" w:hAnsi="Times New Roman" w:cs="Times New Roman"/>
                <w:b/>
                <w:i/>
              </w:rPr>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1D0A1C" w:rsidRPr="00F66630">
              <w:rPr>
                <w:rFonts w:ascii="Times New Roman" w:hAnsi="Times New Roman" w:cs="Times New Roman"/>
                <w:b/>
                <w:i/>
              </w:rPr>
              <w:t xml:space="preserve"> (2019 APA onwards)</w:t>
            </w:r>
          </w:p>
        </w:tc>
      </w:tr>
      <w:tr w:rsidR="00AE583B" w:rsidRPr="00F66630" w14:paraId="7ACFBDA3" w14:textId="77777777" w:rsidTr="00DC1205">
        <w:trPr>
          <w:trHeight w:val="287"/>
        </w:trPr>
        <w:tc>
          <w:tcPr>
            <w:tcW w:w="5000" w:type="pct"/>
            <w:gridSpan w:val="2"/>
          </w:tcPr>
          <w:p w14:paraId="0DF07DC6" w14:textId="6C54ACE7" w:rsidR="00B301D1" w:rsidRPr="00F66630" w:rsidRDefault="00DE4E0B" w:rsidP="00DE4E0B">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w:t>
            </w:r>
            <w:r w:rsidR="00B301D1" w:rsidRPr="00F66630">
              <w:rPr>
                <w:rFonts w:ascii="Times New Roman" w:eastAsia="Times New Roman" w:hAnsi="Times New Roman" w:cs="Times New Roman"/>
                <w:b/>
                <w:bCs/>
                <w:i/>
                <w:iCs/>
                <w:u w:val="single"/>
              </w:rPr>
              <w:t>ata sources</w:t>
            </w:r>
          </w:p>
          <w:p w14:paraId="5370C5A7" w14:textId="77777777" w:rsidR="00AE583B" w:rsidRPr="00F66630" w:rsidRDefault="00B301D1" w:rsidP="002009D3">
            <w:pPr>
              <w:pStyle w:val="ListParagraph"/>
              <w:numPr>
                <w:ilvl w:val="0"/>
                <w:numId w:val="20"/>
              </w:numPr>
              <w:rPr>
                <w:rFonts w:ascii="Times New Roman" w:hAnsi="Times New Roman" w:cs="Times New Roman"/>
                <w:b/>
              </w:rPr>
            </w:pPr>
            <w:r w:rsidRPr="00F66630">
              <w:rPr>
                <w:rFonts w:ascii="Times New Roman" w:hAnsi="Times New Roman" w:cs="Times New Roman"/>
                <w:b/>
              </w:rPr>
              <w:t xml:space="preserve">Annual Report by the Auditor-General for the State </w:t>
            </w:r>
            <w:r w:rsidRPr="00F66630">
              <w:rPr>
                <w:rFonts w:ascii="Times New Roman" w:hAnsi="Times New Roman" w:cs="Times New Roman"/>
              </w:rPr>
              <w:t>and the audited financial statements for the year.</w:t>
            </w:r>
          </w:p>
          <w:p w14:paraId="056B274F" w14:textId="06ADC525" w:rsidR="009C154A" w:rsidRPr="00F66630" w:rsidRDefault="009C154A" w:rsidP="009C154A">
            <w:pPr>
              <w:pStyle w:val="ListParagraph"/>
              <w:rPr>
                <w:rFonts w:ascii="Times New Roman" w:hAnsi="Times New Roman" w:cs="Times New Roman"/>
                <w:b/>
              </w:rPr>
            </w:pPr>
          </w:p>
        </w:tc>
      </w:tr>
      <w:tr w:rsidR="00886223" w:rsidRPr="00F66630" w14:paraId="0EBE5D3C" w14:textId="77777777" w:rsidTr="00DC1205">
        <w:trPr>
          <w:trHeight w:val="287"/>
        </w:trPr>
        <w:tc>
          <w:tcPr>
            <w:tcW w:w="5000" w:type="pct"/>
            <w:gridSpan w:val="2"/>
          </w:tcPr>
          <w:p w14:paraId="1343D6A4" w14:textId="285B6DC3" w:rsidR="00DE4E0B" w:rsidRPr="00F66630" w:rsidRDefault="00DE4E0B" w:rsidP="00DE4E0B">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w:t>
            </w:r>
            <w:r w:rsidR="0088431C" w:rsidRPr="00F66630">
              <w:rPr>
                <w:rFonts w:ascii="Times New Roman" w:hAnsi="Times New Roman" w:cs="Times New Roman"/>
                <w:b/>
                <w:i/>
                <w:sz w:val="22"/>
                <w:szCs w:val="22"/>
                <w:u w:val="single"/>
              </w:rPr>
              <w:t>s</w:t>
            </w:r>
          </w:p>
          <w:p w14:paraId="568EA05D" w14:textId="77777777" w:rsidR="009C154A" w:rsidRPr="00F66630" w:rsidRDefault="009C154A" w:rsidP="00DE4E0B">
            <w:pPr>
              <w:pStyle w:val="CommentText"/>
              <w:rPr>
                <w:rFonts w:ascii="Times New Roman" w:hAnsi="Times New Roman" w:cs="Times New Roman"/>
                <w:b/>
                <w:i/>
                <w:sz w:val="22"/>
                <w:szCs w:val="22"/>
                <w:u w:val="single"/>
              </w:rPr>
            </w:pPr>
          </w:p>
          <w:p w14:paraId="2A07DB54" w14:textId="40FDB516" w:rsidR="00886223" w:rsidRPr="00F66630" w:rsidRDefault="00886223" w:rsidP="00395C93">
            <w:pPr>
              <w:rPr>
                <w:rFonts w:ascii="Times New Roman" w:hAnsi="Times New Roman" w:cs="Times New Roman"/>
              </w:rPr>
            </w:pPr>
            <w:r w:rsidRPr="00F66630">
              <w:rPr>
                <w:rFonts w:ascii="Times New Roman" w:hAnsi="Times New Roman" w:cs="Times New Roman"/>
              </w:rPr>
              <w:t xml:space="preserve">The IVA </w:t>
            </w:r>
            <w:r w:rsidR="00663882" w:rsidRPr="00F66630">
              <w:rPr>
                <w:rFonts w:ascii="Times New Roman" w:hAnsi="Times New Roman" w:cs="Times New Roman"/>
              </w:rPr>
              <w:t>will carry out</w:t>
            </w:r>
            <w:r w:rsidRPr="00F66630">
              <w:rPr>
                <w:rFonts w:ascii="Times New Roman" w:hAnsi="Times New Roman" w:cs="Times New Roman"/>
              </w:rPr>
              <w:t xml:space="preserve"> the following</w:t>
            </w:r>
            <w:r w:rsidR="00AE583B" w:rsidRPr="00F66630">
              <w:rPr>
                <w:rFonts w:ascii="Times New Roman" w:hAnsi="Times New Roman" w:cs="Times New Roman"/>
              </w:rPr>
              <w:t>:</w:t>
            </w:r>
          </w:p>
          <w:p w14:paraId="79841184" w14:textId="5BC706BD" w:rsidR="00372D1B" w:rsidRPr="00F66630" w:rsidRDefault="00372D1B" w:rsidP="00712A91">
            <w:pPr>
              <w:pStyle w:val="ListParagraph"/>
              <w:numPr>
                <w:ilvl w:val="0"/>
                <w:numId w:val="11"/>
              </w:numPr>
              <w:rPr>
                <w:rFonts w:ascii="Times New Roman" w:hAnsi="Times New Roman" w:cs="Times New Roman"/>
              </w:rPr>
            </w:pPr>
            <w:r w:rsidRPr="00F66630">
              <w:rPr>
                <w:rFonts w:ascii="Times New Roman" w:hAnsi="Times New Roman" w:cs="Times New Roman"/>
              </w:rPr>
              <w:lastRenderedPageBreak/>
              <w:t xml:space="preserve">Obtain the </w:t>
            </w:r>
            <w:r w:rsidR="00E8695B" w:rsidRPr="00F66630">
              <w:rPr>
                <w:rFonts w:ascii="Times New Roman" w:hAnsi="Times New Roman" w:cs="Times New Roman"/>
              </w:rPr>
              <w:t xml:space="preserve">approved annual budget and the </w:t>
            </w:r>
            <w:r w:rsidRPr="00F66630">
              <w:rPr>
                <w:rFonts w:ascii="Times New Roman" w:hAnsi="Times New Roman" w:cs="Times New Roman"/>
              </w:rPr>
              <w:t xml:space="preserve">audited financial statements from the Auditor-General for the State for </w:t>
            </w:r>
            <w:r w:rsidR="00B01101" w:rsidRPr="00F66630">
              <w:rPr>
                <w:rFonts w:ascii="Times New Roman" w:hAnsi="Times New Roman" w:cs="Times New Roman"/>
              </w:rPr>
              <w:t xml:space="preserve">each the </w:t>
            </w:r>
            <w:r w:rsidR="00022990" w:rsidRPr="00F66630">
              <w:rPr>
                <w:rFonts w:ascii="Times New Roman" w:hAnsi="Times New Roman" w:cs="Times New Roman"/>
              </w:rPr>
              <w:t>fiscal year.</w:t>
            </w:r>
          </w:p>
          <w:p w14:paraId="7FD9E41C" w14:textId="19D57AC7" w:rsidR="009C154A" w:rsidRPr="00F66630" w:rsidRDefault="00886223" w:rsidP="00FA6D0B">
            <w:pPr>
              <w:pStyle w:val="ListParagraph"/>
              <w:numPr>
                <w:ilvl w:val="0"/>
                <w:numId w:val="11"/>
              </w:numPr>
              <w:rPr>
                <w:rFonts w:ascii="Times New Roman" w:hAnsi="Times New Roman" w:cs="Times New Roman"/>
              </w:rPr>
            </w:pPr>
            <w:r w:rsidRPr="00F66630">
              <w:rPr>
                <w:rFonts w:ascii="Times New Roman" w:hAnsi="Times New Roman" w:cs="Times New Roman"/>
              </w:rPr>
              <w:t>Calculate the expenditure outturn deviation for each year</w:t>
            </w:r>
            <w:r w:rsidR="00653A74" w:rsidRPr="00F66630">
              <w:rPr>
                <w:rFonts w:ascii="Times New Roman" w:hAnsi="Times New Roman" w:cs="Times New Roman"/>
              </w:rPr>
              <w:t xml:space="preserve"> as per the definition of DLR achievement</w:t>
            </w:r>
            <w:r w:rsidR="00D2771A" w:rsidRPr="00F66630">
              <w:rPr>
                <w:rFonts w:ascii="Times New Roman" w:hAnsi="Times New Roman" w:cs="Times New Roman"/>
              </w:rPr>
              <w:t xml:space="preserve">, including ensuring that the debt servicing component is included in the same way in </w:t>
            </w:r>
            <w:r w:rsidR="00D2771A" w:rsidRPr="00F66630">
              <w:rPr>
                <w:rFonts w:ascii="Times New Roman" w:eastAsia="Times New Roman" w:hAnsi="Times New Roman" w:cs="Times New Roman"/>
                <w:color w:val="000000"/>
              </w:rPr>
              <w:t>both the budget and actual components of the calculation for a like to like comparison.</w:t>
            </w:r>
          </w:p>
          <w:p w14:paraId="32099DC0" w14:textId="77777777" w:rsidR="00793A5B" w:rsidRPr="00F66630" w:rsidRDefault="00793A5B" w:rsidP="00793A5B">
            <w:pPr>
              <w:pStyle w:val="ListParagraph"/>
              <w:numPr>
                <w:ilvl w:val="0"/>
                <w:numId w:val="11"/>
              </w:numPr>
              <w:rPr>
                <w:rFonts w:ascii="Times New Roman" w:hAnsi="Times New Roman" w:cs="Times New Roman"/>
              </w:rPr>
            </w:pPr>
            <w:r w:rsidRPr="00F66630">
              <w:rPr>
                <w:rFonts w:ascii="Times New Roman" w:eastAsia="Times New Roman" w:hAnsi="Times New Roman" w:cs="Times New Roman"/>
              </w:rPr>
              <w:t>For 2020 APA, obtain the approved total amended budget and use for calculation.</w:t>
            </w:r>
          </w:p>
          <w:p w14:paraId="6C0C3196" w14:textId="38AAF769" w:rsidR="009C154A" w:rsidRPr="00F66630" w:rsidRDefault="00886223" w:rsidP="00FA6D0B">
            <w:pPr>
              <w:pStyle w:val="ListParagraph"/>
              <w:numPr>
                <w:ilvl w:val="0"/>
                <w:numId w:val="11"/>
              </w:numPr>
              <w:rPr>
                <w:rFonts w:ascii="Times New Roman" w:hAnsi="Times New Roman" w:cs="Times New Roman"/>
              </w:rPr>
            </w:pPr>
            <w:r w:rsidRPr="00F66630">
              <w:rPr>
                <w:rFonts w:ascii="Times New Roman" w:hAnsi="Times New Roman" w:cs="Times New Roman"/>
              </w:rPr>
              <w:t>Confirm whether the expenditure outturn deviation is not higher than the maximum percentage defin</w:t>
            </w:r>
            <w:r w:rsidR="00372D1B" w:rsidRPr="00F66630">
              <w:rPr>
                <w:rFonts w:ascii="Times New Roman" w:hAnsi="Times New Roman" w:cs="Times New Roman"/>
              </w:rPr>
              <w:t>ed for each year of the Program in the DLI Matrix</w:t>
            </w:r>
            <w:r w:rsidRPr="00F66630">
              <w:rPr>
                <w:rFonts w:ascii="Times New Roman" w:hAnsi="Times New Roman" w:cs="Times New Roman"/>
              </w:rPr>
              <w:t xml:space="preserve"> (2019 – 25%, 2020 – </w:t>
            </w:r>
            <w:r w:rsidR="008C337D" w:rsidRPr="00F66630">
              <w:rPr>
                <w:rFonts w:ascii="Times New Roman" w:hAnsi="Times New Roman" w:cs="Times New Roman"/>
              </w:rPr>
              <w:t>15</w:t>
            </w:r>
            <w:r w:rsidRPr="00F66630">
              <w:rPr>
                <w:rFonts w:ascii="Times New Roman" w:hAnsi="Times New Roman" w:cs="Times New Roman"/>
              </w:rPr>
              <w:t>%, 2021 – 15%)</w:t>
            </w:r>
            <w:r w:rsidR="00372D1B" w:rsidRPr="00F66630">
              <w:rPr>
                <w:rFonts w:ascii="Times New Roman" w:hAnsi="Times New Roman" w:cs="Times New Roman"/>
              </w:rPr>
              <w:t>.</w:t>
            </w:r>
          </w:p>
          <w:p w14:paraId="11E25901" w14:textId="77777777" w:rsidR="009C154A" w:rsidRPr="00F66630" w:rsidRDefault="009C154A" w:rsidP="009C154A">
            <w:pPr>
              <w:pStyle w:val="ListParagraph"/>
              <w:ind w:left="1080"/>
              <w:rPr>
                <w:rFonts w:ascii="Times New Roman" w:hAnsi="Times New Roman" w:cs="Times New Roman"/>
              </w:rPr>
            </w:pPr>
          </w:p>
          <w:p w14:paraId="4882CD9F" w14:textId="629AE9E7" w:rsidR="00FA6D0B" w:rsidRPr="00F66630" w:rsidRDefault="00712A91" w:rsidP="00FA6D0B">
            <w:pPr>
              <w:rPr>
                <w:rFonts w:ascii="Times New Roman" w:hAnsi="Times New Roman" w:cs="Times New Roman"/>
              </w:rPr>
            </w:pPr>
            <w:r w:rsidRPr="00F66630">
              <w:rPr>
                <w:rFonts w:ascii="Times New Roman" w:hAnsi="Times New Roman" w:cs="Times New Roman"/>
              </w:rPr>
              <w:t xml:space="preserve">The IVA should note in reports </w:t>
            </w:r>
            <w:r w:rsidR="00FA6D0B" w:rsidRPr="00F66630">
              <w:rPr>
                <w:rFonts w:ascii="Times New Roman" w:hAnsi="Times New Roman" w:cs="Times New Roman"/>
              </w:rPr>
              <w:t>the following:</w:t>
            </w:r>
          </w:p>
          <w:p w14:paraId="1565B9C6" w14:textId="77777777" w:rsidR="00E8695B" w:rsidRPr="00F66630" w:rsidRDefault="00FA6D0B" w:rsidP="003C4D12">
            <w:pPr>
              <w:pStyle w:val="ListParagraph"/>
              <w:numPr>
                <w:ilvl w:val="0"/>
                <w:numId w:val="91"/>
              </w:numPr>
              <w:rPr>
                <w:rFonts w:ascii="Times New Roman" w:hAnsi="Times New Roman" w:cs="Times New Roman"/>
              </w:rPr>
            </w:pPr>
            <w:r w:rsidRPr="00F66630">
              <w:rPr>
                <w:rFonts w:ascii="Times New Roman" w:hAnsi="Times New Roman" w:cs="Times New Roman"/>
              </w:rPr>
              <w:t xml:space="preserve">When </w:t>
            </w:r>
            <w:r w:rsidR="00712A91" w:rsidRPr="00F66630">
              <w:rPr>
                <w:rFonts w:ascii="Times New Roman" w:hAnsi="Times New Roman" w:cs="Times New Roman"/>
              </w:rPr>
              <w:t>the original budgeted figures differ between the approved Annual Budgets and AFS.</w:t>
            </w:r>
          </w:p>
          <w:p w14:paraId="32386FAB" w14:textId="77777777" w:rsidR="00022990" w:rsidRPr="00F66630" w:rsidRDefault="00E8695B" w:rsidP="00E8695B">
            <w:pPr>
              <w:pStyle w:val="ListParagraph"/>
              <w:numPr>
                <w:ilvl w:val="0"/>
                <w:numId w:val="91"/>
              </w:numPr>
              <w:rPr>
                <w:rFonts w:ascii="Times New Roman" w:hAnsi="Times New Roman" w:cs="Times New Roman"/>
              </w:rPr>
            </w:pPr>
            <w:r w:rsidRPr="00F66630">
              <w:rPr>
                <w:rFonts w:ascii="Times New Roman" w:hAnsi="Times New Roman" w:cs="Times New Roman"/>
              </w:rPr>
              <w:t>W</w:t>
            </w:r>
            <w:r w:rsidR="00712A91" w:rsidRPr="00F66630">
              <w:rPr>
                <w:rFonts w:ascii="Times New Roman" w:hAnsi="Times New Roman" w:cs="Times New Roman"/>
              </w:rPr>
              <w:t xml:space="preserve">hen the source of the values used in the calculations are from the hard copies of the AFS which are not available in the online AFS </w:t>
            </w:r>
            <w:proofErr w:type="gramStart"/>
            <w:r w:rsidR="00712A91" w:rsidRPr="00F66630">
              <w:rPr>
                <w:rFonts w:ascii="Times New Roman" w:hAnsi="Times New Roman" w:cs="Times New Roman"/>
              </w:rPr>
              <w:t>i.e.</w:t>
            </w:r>
            <w:proofErr w:type="gramEnd"/>
            <w:r w:rsidR="00712A91" w:rsidRPr="00F66630">
              <w:rPr>
                <w:rFonts w:ascii="Times New Roman" w:hAnsi="Times New Roman" w:cs="Times New Roman"/>
              </w:rPr>
              <w:t xml:space="preserve"> States have not upload the full AFS online.</w:t>
            </w:r>
          </w:p>
          <w:p w14:paraId="059DB892" w14:textId="27A9A555" w:rsidR="009C154A" w:rsidRPr="00F66630" w:rsidRDefault="009C154A" w:rsidP="009C154A">
            <w:pPr>
              <w:pStyle w:val="ListParagraph"/>
              <w:ind w:left="1080"/>
              <w:rPr>
                <w:rFonts w:ascii="Times New Roman" w:hAnsi="Times New Roman" w:cs="Times New Roman"/>
              </w:rPr>
            </w:pPr>
          </w:p>
        </w:tc>
      </w:tr>
    </w:tbl>
    <w:p w14:paraId="05A3363A" w14:textId="77777777" w:rsidR="00394012" w:rsidRPr="00F66630" w:rsidRDefault="00394012">
      <w:r w:rsidRPr="00F66630">
        <w:rPr>
          <w:b/>
          <w:bCs/>
        </w:rPr>
        <w:lastRenderedPageBreak/>
        <w:br w:type="page"/>
      </w:r>
    </w:p>
    <w:tbl>
      <w:tblPr>
        <w:tblStyle w:val="TableGrid"/>
        <w:tblW w:w="5315" w:type="pct"/>
        <w:tblLook w:val="04A0" w:firstRow="1" w:lastRow="0" w:firstColumn="1" w:lastColumn="0" w:noHBand="0" w:noVBand="1"/>
      </w:tblPr>
      <w:tblGrid>
        <w:gridCol w:w="3144"/>
        <w:gridCol w:w="10622"/>
      </w:tblGrid>
      <w:tr w:rsidR="00886223" w:rsidRPr="00F66630" w14:paraId="52AD40A3" w14:textId="77777777" w:rsidTr="00E15847">
        <w:trPr>
          <w:trHeight w:val="287"/>
        </w:trPr>
        <w:tc>
          <w:tcPr>
            <w:tcW w:w="5000" w:type="pct"/>
            <w:gridSpan w:val="2"/>
            <w:shd w:val="clear" w:color="auto" w:fill="EAF1DD" w:themeFill="accent3" w:themeFillTint="33"/>
          </w:tcPr>
          <w:p w14:paraId="2414F2A4" w14:textId="6F03F38C" w:rsidR="00456642" w:rsidRPr="00F66630" w:rsidRDefault="007D562A" w:rsidP="00213F3A">
            <w:pPr>
              <w:pStyle w:val="Heading3"/>
              <w:numPr>
                <w:ilvl w:val="0"/>
                <w:numId w:val="0"/>
              </w:numPr>
              <w:outlineLvl w:val="2"/>
              <w:rPr>
                <w:rFonts w:cs="Times New Roman"/>
                <w:b w:val="0"/>
                <w:bCs w:val="0"/>
                <w:color w:val="000000"/>
              </w:rPr>
            </w:pPr>
            <w:r w:rsidRPr="00F66630">
              <w:lastRenderedPageBreak/>
              <w:br w:type="page"/>
            </w:r>
            <w:bookmarkStart w:id="21" w:name="_Hlk524618326"/>
            <w:r w:rsidR="00BB1303" w:rsidRPr="00F66630">
              <w:rPr>
                <w:sz w:val="22"/>
                <w:szCs w:val="22"/>
              </w:rPr>
              <w:br w:type="page"/>
            </w:r>
            <w:bookmarkStart w:id="22" w:name="_Toc107345848"/>
            <w:r w:rsidR="00BB1303" w:rsidRPr="00F66630">
              <w:rPr>
                <w:sz w:val="22"/>
                <w:szCs w:val="22"/>
              </w:rPr>
              <w:t xml:space="preserve">ORIGINAL </w:t>
            </w:r>
            <w:r w:rsidR="00886223" w:rsidRPr="00F66630">
              <w:rPr>
                <w:rFonts w:ascii="Times New Roman Bold" w:eastAsia="Calibri" w:hAnsi="Times New Roman Bold"/>
                <w:sz w:val="22"/>
                <w:szCs w:val="22"/>
              </w:rPr>
              <w:t>DLI 2: Increased openness and citizens’ e</w:t>
            </w:r>
            <w:r w:rsidR="00B301D1" w:rsidRPr="00F66630">
              <w:rPr>
                <w:rFonts w:ascii="Times New Roman Bold" w:eastAsia="Calibri" w:hAnsi="Times New Roman Bold"/>
                <w:sz w:val="22"/>
                <w:szCs w:val="22"/>
              </w:rPr>
              <w:t>ngagement in the budget process</w:t>
            </w:r>
            <w:bookmarkEnd w:id="22"/>
          </w:p>
        </w:tc>
      </w:tr>
      <w:bookmarkEnd w:id="21"/>
      <w:tr w:rsidR="007D562A" w:rsidRPr="00F66630" w14:paraId="26A462A6" w14:textId="77777777" w:rsidTr="009C154A">
        <w:trPr>
          <w:trHeight w:val="470"/>
        </w:trPr>
        <w:tc>
          <w:tcPr>
            <w:tcW w:w="1142" w:type="pct"/>
            <w:shd w:val="clear" w:color="auto" w:fill="FDE9D9" w:themeFill="accent6" w:themeFillTint="33"/>
          </w:tcPr>
          <w:p w14:paraId="2E072E2F" w14:textId="20A77CF3" w:rsidR="007D562A" w:rsidRPr="00F66630" w:rsidRDefault="001A0310" w:rsidP="007D562A">
            <w:pPr>
              <w:rPr>
                <w:rFonts w:ascii="Times New Roman" w:hAnsi="Times New Roman" w:cs="Times New Roman"/>
                <w:b/>
                <w:i/>
              </w:rPr>
            </w:pPr>
            <w:r w:rsidRPr="00F66630">
              <w:rPr>
                <w:rFonts w:ascii="Times New Roman" w:hAnsi="Times New Roman" w:cs="Times New Roman"/>
                <w:b/>
                <w:i/>
              </w:rPr>
              <w:t>DLR description as per DLI Matrix</w:t>
            </w:r>
          </w:p>
        </w:tc>
        <w:tc>
          <w:tcPr>
            <w:tcW w:w="3858" w:type="pct"/>
            <w:shd w:val="clear" w:color="auto" w:fill="FDE9D9" w:themeFill="accent6" w:themeFillTint="33"/>
          </w:tcPr>
          <w:p w14:paraId="648392D2" w14:textId="0024C425"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C154A" w:rsidRPr="00F66630" w14:paraId="0D320EA9" w14:textId="77777777" w:rsidTr="009B0D0E">
        <w:trPr>
          <w:trHeight w:val="530"/>
        </w:trPr>
        <w:tc>
          <w:tcPr>
            <w:tcW w:w="1142" w:type="pct"/>
          </w:tcPr>
          <w:p w14:paraId="356D06CF" w14:textId="77777777" w:rsidR="009C154A" w:rsidRPr="00F66630" w:rsidRDefault="009C154A" w:rsidP="009C154A">
            <w:pPr>
              <w:rPr>
                <w:rFonts w:ascii="Times New Roman" w:hAnsi="Times New Roman" w:cs="Times New Roman"/>
                <w:b/>
                <w:bCs/>
              </w:rPr>
            </w:pPr>
            <w:r w:rsidRPr="00F66630">
              <w:rPr>
                <w:rFonts w:ascii="Times New Roman" w:hAnsi="Times New Roman" w:cs="Times New Roman"/>
                <w:b/>
                <w:bCs/>
              </w:rPr>
              <w:t>For 2020</w:t>
            </w:r>
          </w:p>
          <w:p w14:paraId="32AAF9C8" w14:textId="77777777" w:rsidR="009C154A" w:rsidRPr="00F66630" w:rsidRDefault="009C154A" w:rsidP="009C154A">
            <w:pPr>
              <w:rPr>
                <w:rFonts w:ascii="Times New Roman" w:hAnsi="Times New Roman" w:cs="Times New Roman"/>
              </w:rPr>
            </w:pPr>
            <w:r w:rsidRPr="00F66630">
              <w:rPr>
                <w:rFonts w:ascii="Times New Roman" w:hAnsi="Times New Roman" w:cs="Times New Roman"/>
              </w:rPr>
              <w:t>2.1 Citizens’ inputs from formal public consultations are published online, along with the proposed FY2021 budget</w:t>
            </w:r>
          </w:p>
          <w:p w14:paraId="643D4B8A" w14:textId="0A6C7E02" w:rsidR="009C154A" w:rsidRPr="00F66630" w:rsidRDefault="009C154A" w:rsidP="009C154A">
            <w:pPr>
              <w:rPr>
                <w:rFonts w:ascii="Times New Roman" w:hAnsi="Times New Roman" w:cs="Times New Roman"/>
                <w:b/>
                <w:bCs/>
              </w:rPr>
            </w:pPr>
          </w:p>
          <w:p w14:paraId="1E87DDD4" w14:textId="77777777" w:rsidR="009C154A" w:rsidRPr="00F66630" w:rsidRDefault="009C154A" w:rsidP="009C154A">
            <w:pPr>
              <w:rPr>
                <w:rFonts w:ascii="Times New Roman" w:hAnsi="Times New Roman" w:cs="Times New Roman"/>
                <w:b/>
                <w:bCs/>
              </w:rPr>
            </w:pPr>
            <w:r w:rsidRPr="00F66630">
              <w:rPr>
                <w:rFonts w:ascii="Times New Roman" w:hAnsi="Times New Roman" w:cs="Times New Roman"/>
                <w:b/>
                <w:bCs/>
              </w:rPr>
              <w:t>For 2021</w:t>
            </w:r>
          </w:p>
          <w:p w14:paraId="5D55C8AF" w14:textId="77777777" w:rsidR="009C154A" w:rsidRPr="00F66630" w:rsidRDefault="009C154A" w:rsidP="009C154A">
            <w:pPr>
              <w:spacing w:after="120"/>
              <w:rPr>
                <w:rFonts w:ascii="Times New Roman" w:hAnsi="Times New Roman" w:cs="Times New Roman"/>
                <w:sz w:val="23"/>
                <w:szCs w:val="23"/>
              </w:rPr>
            </w:pPr>
            <w:r w:rsidRPr="00F66630">
              <w:rPr>
                <w:rFonts w:ascii="Times New Roman" w:hAnsi="Times New Roman" w:cs="Times New Roman"/>
                <w:sz w:val="23"/>
                <w:szCs w:val="23"/>
              </w:rPr>
              <w:t xml:space="preserve">2.1 Citizens’ inputs from formal public consultations are published online, along with the proposed FY22 budget </w:t>
            </w:r>
          </w:p>
          <w:p w14:paraId="3F00C408" w14:textId="77777777" w:rsidR="009C154A" w:rsidRPr="00F66630" w:rsidRDefault="009C154A" w:rsidP="009C154A">
            <w:pPr>
              <w:spacing w:after="120"/>
              <w:rPr>
                <w:rFonts w:ascii="Times New Roman" w:hAnsi="Times New Roman" w:cs="Times New Roman"/>
                <w:sz w:val="23"/>
                <w:szCs w:val="23"/>
              </w:rPr>
            </w:pPr>
            <w:r w:rsidRPr="00F66630">
              <w:rPr>
                <w:rFonts w:ascii="Times New Roman" w:hAnsi="Times New Roman" w:cs="Times New Roman"/>
                <w:sz w:val="23"/>
                <w:szCs w:val="23"/>
              </w:rPr>
              <w:t xml:space="preserve">AND </w:t>
            </w:r>
          </w:p>
          <w:p w14:paraId="5733E27D" w14:textId="1B6D344F" w:rsidR="009C154A" w:rsidRPr="00F66630" w:rsidRDefault="009C154A" w:rsidP="009C154A">
            <w:pPr>
              <w:rPr>
                <w:rFonts w:ascii="Times New Roman" w:hAnsi="Times New Roman" w:cs="Times New Roman"/>
              </w:rPr>
            </w:pPr>
            <w:r w:rsidRPr="00F66630">
              <w:rPr>
                <w:rFonts w:ascii="Times New Roman" w:hAnsi="Times New Roman" w:cs="Times New Roman"/>
                <w:sz w:val="23"/>
                <w:szCs w:val="23"/>
              </w:rPr>
              <w:t>Citizens’ budget based on approved FY21 state budget published online by end April 2021 with functional online feedback mechanisms</w:t>
            </w:r>
          </w:p>
        </w:tc>
        <w:tc>
          <w:tcPr>
            <w:tcW w:w="3858" w:type="pct"/>
          </w:tcPr>
          <w:p w14:paraId="72A22DBB" w14:textId="696B954F" w:rsidR="00794475" w:rsidRPr="00F66630" w:rsidRDefault="00794475" w:rsidP="00794475">
            <w:pPr>
              <w:rPr>
                <w:rFonts w:ascii="Times New Roman" w:hAnsi="Times New Roman" w:cs="Times New Roman"/>
              </w:rPr>
            </w:pPr>
            <w:r w:rsidRPr="00F66630">
              <w:rPr>
                <w:rFonts w:ascii="Times New Roman" w:hAnsi="Times New Roman" w:cs="Times New Roman"/>
              </w:rPr>
              <w:t>For 2020</w:t>
            </w:r>
          </w:p>
          <w:p w14:paraId="29D77D6C" w14:textId="70712B08" w:rsidR="009C154A" w:rsidRPr="00F66630" w:rsidRDefault="009C154A" w:rsidP="009C154A">
            <w:pPr>
              <w:rPr>
                <w:rFonts w:ascii="Times New Roman" w:eastAsia="Times New Roman" w:hAnsi="Times New Roman" w:cs="Times New Roman"/>
                <w:i/>
                <w:iCs/>
                <w:color w:val="000000"/>
              </w:rPr>
            </w:pPr>
            <w:r w:rsidRPr="00F66630">
              <w:rPr>
                <w:rFonts w:ascii="Times New Roman" w:eastAsia="Times New Roman" w:hAnsi="Times New Roman" w:cs="Times New Roman"/>
                <w:i/>
                <w:iCs/>
                <w:color w:val="000000"/>
              </w:rPr>
              <w:t>Citizens’ inputs from formal public consultations</w:t>
            </w:r>
          </w:p>
          <w:p w14:paraId="0B158C66" w14:textId="00A9A229" w:rsidR="009C154A" w:rsidRPr="00F66630" w:rsidRDefault="009C154A" w:rsidP="009C154A">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Formal public consultations on the budget preparation </w:t>
            </w:r>
            <w:proofErr w:type="gramStart"/>
            <w:r w:rsidRPr="00F66630">
              <w:rPr>
                <w:rFonts w:ascii="Times New Roman" w:eastAsia="Times New Roman" w:hAnsi="Times New Roman" w:cs="Times New Roman"/>
                <w:color w:val="000000"/>
              </w:rPr>
              <w:t>is</w:t>
            </w:r>
            <w:proofErr w:type="gramEnd"/>
            <w:r w:rsidRPr="00F66630">
              <w:rPr>
                <w:rFonts w:ascii="Times New Roman" w:eastAsia="Times New Roman" w:hAnsi="Times New Roman" w:cs="Times New Roman"/>
                <w:color w:val="000000"/>
              </w:rPr>
              <w:t xml:space="preserve"> interpreted as the executive holding at least one ‘town-hall’ consultation before the proposed budget is drafted. Consultations should include the participation of local government authorities and </w:t>
            </w:r>
            <w:proofErr w:type="gramStart"/>
            <w:r w:rsidRPr="00F66630">
              <w:rPr>
                <w:rFonts w:ascii="Times New Roman" w:eastAsia="Times New Roman" w:hAnsi="Times New Roman" w:cs="Times New Roman"/>
                <w:color w:val="000000"/>
              </w:rPr>
              <w:t>state-based</w:t>
            </w:r>
            <w:proofErr w:type="gramEnd"/>
            <w:r w:rsidRPr="00F66630">
              <w:rPr>
                <w:rFonts w:ascii="Times New Roman" w:eastAsia="Times New Roman" w:hAnsi="Times New Roman" w:cs="Times New Roman"/>
                <w:color w:val="000000"/>
              </w:rPr>
              <w:t xml:space="preserve"> CSOs.</w:t>
            </w:r>
            <w:r w:rsidR="00232FE6" w:rsidRPr="00F66630">
              <w:rPr>
                <w:rFonts w:ascii="Times New Roman" w:eastAsia="Times New Roman" w:hAnsi="Times New Roman" w:cs="Times New Roman"/>
                <w:color w:val="000000"/>
              </w:rPr>
              <w:t xml:space="preserve"> </w:t>
            </w:r>
            <w:r w:rsidRPr="00F66630">
              <w:rPr>
                <w:rFonts w:ascii="Times New Roman" w:eastAsia="Times New Roman" w:hAnsi="Times New Roman" w:cs="Times New Roman"/>
                <w:color w:val="000000"/>
              </w:rPr>
              <w:t xml:space="preserve">In-person and virtual consultations may be utilized interchangeably. For both in-person or virtual consultations, citizen’s inputs are represented by the minutes of the public consultations, and these should be posted on the official state website, alongside the proposed annual budget </w:t>
            </w:r>
            <w:r w:rsidRPr="00F66630">
              <w:rPr>
                <w:rFonts w:ascii="Times New Roman" w:hAnsi="Times New Roman" w:cs="Times New Roman"/>
              </w:rPr>
              <w:t>on or before the deadline for the publication of the approved annual budget for the Eligibility Criteria (</w:t>
            </w:r>
            <w:r w:rsidRPr="00F66630">
              <w:rPr>
                <w:rFonts w:ascii="Times New Roman" w:hAnsi="Times New Roman" w:cs="Times New Roman"/>
                <w:i/>
              </w:rPr>
              <w:t>31 January of the fiscal year (2020, 2021 and 2022) for each Annual Budget).</w:t>
            </w:r>
            <w:r w:rsidRPr="00F66630">
              <w:rPr>
                <w:rFonts w:ascii="Times New Roman" w:eastAsia="Times New Roman" w:hAnsi="Times New Roman" w:cs="Times New Roman"/>
                <w:color w:val="000000"/>
              </w:rPr>
              <w:t xml:space="preserve"> The minutes of the public consultations should be jointly prepared with CSO representative(s) (shown by their signature to the minutes) and signposted on the home page of the website to enable citizens to find the inputs easily.</w:t>
            </w:r>
          </w:p>
          <w:p w14:paraId="1DBBE3D9" w14:textId="2CF38368" w:rsidR="007B04D4" w:rsidRPr="00F66630" w:rsidRDefault="007B04D4" w:rsidP="009C154A">
            <w:pPr>
              <w:rPr>
                <w:rFonts w:ascii="Times New Roman" w:eastAsia="Times New Roman" w:hAnsi="Times New Roman" w:cs="Times New Roman"/>
                <w:color w:val="000000"/>
              </w:rPr>
            </w:pPr>
          </w:p>
          <w:p w14:paraId="5FE0C129" w14:textId="77777777" w:rsidR="00410E7A" w:rsidRPr="00F66630" w:rsidRDefault="00410E7A" w:rsidP="00410E7A">
            <w:pPr>
              <w:rPr>
                <w:rFonts w:ascii="Times New Roman" w:hAnsi="Times New Roman" w:cs="Times New Roman"/>
              </w:rPr>
            </w:pPr>
            <w:r w:rsidRPr="00F66630">
              <w:rPr>
                <w:rFonts w:ascii="Times New Roman" w:hAnsi="Times New Roman" w:cs="Times New Roman"/>
              </w:rPr>
              <w:t>For 2021</w:t>
            </w:r>
          </w:p>
          <w:p w14:paraId="4C5F3E93" w14:textId="77777777" w:rsidR="00410E7A" w:rsidRPr="00F66630" w:rsidRDefault="00410E7A" w:rsidP="00410E7A">
            <w:pPr>
              <w:rPr>
                <w:rFonts w:ascii="Times New Roman" w:eastAsia="Times New Roman" w:hAnsi="Times New Roman" w:cs="Times New Roman"/>
                <w:i/>
                <w:iCs/>
                <w:color w:val="000000"/>
              </w:rPr>
            </w:pPr>
            <w:r w:rsidRPr="00F66630">
              <w:rPr>
                <w:rFonts w:ascii="Times New Roman" w:eastAsia="Times New Roman" w:hAnsi="Times New Roman" w:cs="Times New Roman"/>
                <w:i/>
                <w:iCs/>
                <w:color w:val="000000"/>
              </w:rPr>
              <w:t>Citizens’ inputs from formal public consultations</w:t>
            </w:r>
          </w:p>
          <w:p w14:paraId="7CF070D4" w14:textId="62AAF489" w:rsidR="00410E7A" w:rsidRPr="00F66630" w:rsidRDefault="00410E7A" w:rsidP="00410E7A">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Formal public consultations on the budget preparation </w:t>
            </w:r>
            <w:proofErr w:type="gramStart"/>
            <w:r w:rsidRPr="00F66630">
              <w:rPr>
                <w:rFonts w:ascii="Times New Roman" w:eastAsia="Times New Roman" w:hAnsi="Times New Roman" w:cs="Times New Roman"/>
                <w:color w:val="000000"/>
              </w:rPr>
              <w:t>is</w:t>
            </w:r>
            <w:proofErr w:type="gramEnd"/>
            <w:r w:rsidRPr="00F66630">
              <w:rPr>
                <w:rFonts w:ascii="Times New Roman" w:eastAsia="Times New Roman" w:hAnsi="Times New Roman" w:cs="Times New Roman"/>
                <w:color w:val="000000"/>
              </w:rPr>
              <w:t xml:space="preserve"> interpreted as the executive holding at least one ‘town-hall’ consultation before the proposed budget is drafted. Consultations should include the participation of citizens, citizens groups, state-based CBOs and state-based CSOs. In-person and virtual consultations may be utilized interchangeably. For both in-person or virtual consultations, citizen’s inputs are represented by the minutes of the public consultations, and these should be posted on the official state website, alongside the proposed annual budget</w:t>
            </w:r>
            <w:r w:rsidR="009546A6" w:rsidRPr="00F66630">
              <w:rPr>
                <w:rFonts w:ascii="Times New Roman" w:eastAsia="Times New Roman" w:hAnsi="Times New Roman" w:cs="Times New Roman"/>
                <w:color w:val="000000"/>
              </w:rPr>
              <w:t xml:space="preserve"> </w:t>
            </w:r>
            <w:r w:rsidR="001447B4" w:rsidRPr="00F66630">
              <w:rPr>
                <w:rFonts w:ascii="Times New Roman" w:eastAsia="Times New Roman" w:hAnsi="Times New Roman" w:cs="Times New Roman"/>
                <w:color w:val="000000"/>
              </w:rPr>
              <w:t>(</w:t>
            </w:r>
            <w:r w:rsidR="006836BF" w:rsidRPr="00F66630">
              <w:rPr>
                <w:rFonts w:ascii="Times New Roman" w:eastAsia="Times New Roman" w:hAnsi="Times New Roman" w:cs="Times New Roman"/>
                <w:color w:val="000000"/>
              </w:rPr>
              <w:t xml:space="preserve">the </w:t>
            </w:r>
            <w:r w:rsidR="001447B4" w:rsidRPr="00F66630">
              <w:rPr>
                <w:rFonts w:ascii="Times New Roman" w:eastAsia="Times New Roman" w:hAnsi="Times New Roman" w:cs="Times New Roman"/>
                <w:color w:val="000000"/>
              </w:rPr>
              <w:t xml:space="preserve">guideline is </w:t>
            </w:r>
            <w:r w:rsidR="00D81CCE" w:rsidRPr="00F66630">
              <w:rPr>
                <w:rFonts w:ascii="Times New Roman" w:eastAsia="Times New Roman" w:hAnsi="Times New Roman" w:cs="Times New Roman"/>
                <w:color w:val="000000"/>
              </w:rPr>
              <w:t xml:space="preserve">one </w:t>
            </w:r>
            <w:r w:rsidRPr="00F66630">
              <w:rPr>
                <w:rFonts w:ascii="Times New Roman" w:eastAsia="Times New Roman" w:hAnsi="Times New Roman" w:cs="Times New Roman"/>
                <w:color w:val="000000"/>
              </w:rPr>
              <w:t xml:space="preserve">week after </w:t>
            </w:r>
            <w:r w:rsidR="00C50DDE" w:rsidRPr="00F66630">
              <w:rPr>
                <w:rFonts w:ascii="Times New Roman" w:eastAsia="Times New Roman" w:hAnsi="Times New Roman" w:cs="Times New Roman"/>
                <w:color w:val="000000"/>
              </w:rPr>
              <w:t xml:space="preserve">the </w:t>
            </w:r>
            <w:r w:rsidRPr="00F66630">
              <w:rPr>
                <w:rFonts w:ascii="Times New Roman" w:eastAsia="Times New Roman" w:hAnsi="Times New Roman" w:cs="Times New Roman"/>
                <w:color w:val="000000"/>
              </w:rPr>
              <w:t>presentation of proposed FY 2022 budget to the State House of Assembly</w:t>
            </w:r>
            <w:r w:rsidR="001447B4" w:rsidRPr="00F66630">
              <w:rPr>
                <w:rFonts w:ascii="Times New Roman" w:eastAsia="Times New Roman" w:hAnsi="Times New Roman" w:cs="Times New Roman"/>
                <w:color w:val="000000"/>
              </w:rPr>
              <w:t xml:space="preserve">, </w:t>
            </w:r>
            <w:r w:rsidR="00C50DDE" w:rsidRPr="00F66630">
              <w:rPr>
                <w:rFonts w:ascii="Times New Roman" w:eastAsia="Times New Roman" w:hAnsi="Times New Roman" w:cs="Times New Roman"/>
                <w:color w:val="000000"/>
              </w:rPr>
              <w:t xml:space="preserve">and </w:t>
            </w:r>
            <w:r w:rsidR="00EA57F7" w:rsidRPr="00F66630">
              <w:rPr>
                <w:rFonts w:ascii="Times New Roman" w:eastAsia="Times New Roman" w:hAnsi="Times New Roman" w:cs="Times New Roman"/>
                <w:color w:val="000000"/>
              </w:rPr>
              <w:t xml:space="preserve">for the verification protocol, </w:t>
            </w:r>
            <w:r w:rsidR="00C50DDE" w:rsidRPr="00F66630">
              <w:rPr>
                <w:rFonts w:ascii="Times New Roman" w:eastAsia="Times New Roman" w:hAnsi="Times New Roman" w:cs="Times New Roman"/>
                <w:color w:val="000000"/>
              </w:rPr>
              <w:t>no later than</w:t>
            </w:r>
            <w:r w:rsidR="00EA57F7" w:rsidRPr="00F66630">
              <w:rPr>
                <w:rFonts w:ascii="Times New Roman" w:eastAsia="Times New Roman" w:hAnsi="Times New Roman" w:cs="Times New Roman"/>
                <w:color w:val="000000"/>
              </w:rPr>
              <w:t xml:space="preserve"> </w:t>
            </w:r>
            <w:r w:rsidR="006836BF" w:rsidRPr="00F66630">
              <w:rPr>
                <w:rFonts w:ascii="Times New Roman" w:eastAsia="Times New Roman" w:hAnsi="Times New Roman" w:cs="Times New Roman"/>
                <w:color w:val="000000"/>
              </w:rPr>
              <w:t xml:space="preserve">the deadline for the publication of the approved annual budget </w:t>
            </w:r>
            <w:proofErr w:type="gramStart"/>
            <w:r w:rsidR="006836BF" w:rsidRPr="00F66630">
              <w:rPr>
                <w:rFonts w:ascii="Times New Roman" w:eastAsia="Times New Roman" w:hAnsi="Times New Roman" w:cs="Times New Roman"/>
                <w:color w:val="000000"/>
              </w:rPr>
              <w:t>i.e.</w:t>
            </w:r>
            <w:proofErr w:type="gramEnd"/>
            <w:r w:rsidR="006836BF" w:rsidRPr="00F66630">
              <w:rPr>
                <w:rFonts w:ascii="Times New Roman" w:eastAsia="Times New Roman" w:hAnsi="Times New Roman" w:cs="Times New Roman"/>
                <w:color w:val="000000"/>
              </w:rPr>
              <w:t xml:space="preserve"> 31 January 2022). </w:t>
            </w:r>
            <w:r w:rsidRPr="00F66630">
              <w:rPr>
                <w:rFonts w:ascii="Times New Roman" w:eastAsia="Times New Roman" w:hAnsi="Times New Roman" w:cs="Times New Roman"/>
                <w:color w:val="000000"/>
              </w:rPr>
              <w:t>The minutes of the public consultations should be jointly prepared with CSO representative(s) (shown by their signature to the minutes) and signposted on the home page of the website to enable citizens to find the inputs easily.</w:t>
            </w:r>
          </w:p>
          <w:p w14:paraId="758DB78F" w14:textId="77777777" w:rsidR="009C154A" w:rsidRPr="00F66630" w:rsidRDefault="009C154A" w:rsidP="009B0D0E">
            <w:pPr>
              <w:rPr>
                <w:rFonts w:ascii="Times New Roman" w:hAnsi="Times New Roman" w:cs="Times New Roman"/>
              </w:rPr>
            </w:pPr>
          </w:p>
          <w:p w14:paraId="58C7E362" w14:textId="77777777" w:rsidR="009C154A" w:rsidRPr="00F66630" w:rsidRDefault="009C154A" w:rsidP="009C154A">
            <w:pPr>
              <w:rPr>
                <w:rFonts w:ascii="Times New Roman" w:eastAsia="Times New Roman" w:hAnsi="Times New Roman" w:cs="Times New Roman"/>
                <w:i/>
                <w:iCs/>
                <w:color w:val="000000"/>
              </w:rPr>
            </w:pPr>
            <w:r w:rsidRPr="00F66630">
              <w:rPr>
                <w:rFonts w:ascii="Times New Roman" w:eastAsia="Times New Roman" w:hAnsi="Times New Roman" w:cs="Times New Roman"/>
                <w:i/>
                <w:iCs/>
                <w:color w:val="000000"/>
              </w:rPr>
              <w:t>Citizens’ Budget</w:t>
            </w:r>
          </w:p>
          <w:p w14:paraId="076AF8F4" w14:textId="77777777" w:rsidR="009C154A" w:rsidRPr="00F66630" w:rsidRDefault="009C154A" w:rsidP="009C154A">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Citizens’ budget based on the State’s FY19 or FY21 budget published online means that the State government shall present the FY19 or FY21 budget in a summarized but comprehensible manner for citizens and posted on the State website(s) no later than April 30, 2019 / 2021 respectively. The form and general content of the citizens’ budget shall be provided to each State for ease of reference.: the </w:t>
            </w:r>
            <w:r w:rsidRPr="00F66630">
              <w:rPr>
                <w:rFonts w:ascii="Times New Roman" w:hAnsi="Times New Roman" w:cs="Times New Roman"/>
              </w:rPr>
              <w:t xml:space="preserve">Citizen Budget User Manual and Excel Template. The minimum required budget information to be contained in the Citizens Budget are: 1) the sources of revenues; 2) domestic and foreign grants, domestic and foreign loans, and other financing sources; 3) total expenditure by economic classifications; 4) the budget framework including total revenue and grants, total expenditures, budget deficit, budget </w:t>
            </w:r>
            <w:r w:rsidRPr="00F66630">
              <w:rPr>
                <w:rFonts w:ascii="Times New Roman" w:hAnsi="Times New Roman" w:cs="Times New Roman"/>
              </w:rPr>
              <w:lastRenderedPageBreak/>
              <w:t>financing and financing gap; 4) breakdown of expenditures by sectors/ministry; and 5) list of large capital projects.</w:t>
            </w:r>
          </w:p>
          <w:p w14:paraId="7C84C979" w14:textId="458674ED" w:rsidR="009C154A" w:rsidRPr="00F66630" w:rsidRDefault="009C154A" w:rsidP="009C154A">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Functional feedback and response mechanisms online are interpreted as a space in the State website for verified users (email and social media accounts) to post comments on the citizens’ budget for government response.</w:t>
            </w:r>
          </w:p>
        </w:tc>
      </w:tr>
      <w:tr w:rsidR="00613D95" w:rsidRPr="00F66630" w14:paraId="429A3F01" w14:textId="77777777" w:rsidTr="009C154A">
        <w:trPr>
          <w:trHeight w:val="710"/>
        </w:trPr>
        <w:tc>
          <w:tcPr>
            <w:tcW w:w="1142" w:type="pct"/>
          </w:tcPr>
          <w:p w14:paraId="1F3FB5EC" w14:textId="0EAD3DC5" w:rsidR="00613D95" w:rsidRPr="00F66630" w:rsidRDefault="00613D95" w:rsidP="00073D21">
            <w:pPr>
              <w:spacing w:after="120"/>
              <w:rPr>
                <w:rFonts w:ascii="Times New Roman" w:eastAsia="Times New Roman" w:hAnsi="Times New Roman" w:cs="Times New Roman"/>
                <w:b/>
                <w:bCs/>
              </w:rPr>
            </w:pPr>
            <w:r w:rsidRPr="00F66630">
              <w:rPr>
                <w:rFonts w:ascii="Times New Roman" w:eastAsia="Times New Roman" w:hAnsi="Times New Roman" w:cs="Times New Roman"/>
                <w:b/>
                <w:bCs/>
              </w:rPr>
              <w:lastRenderedPageBreak/>
              <w:t>For 2020</w:t>
            </w:r>
          </w:p>
          <w:p w14:paraId="1AF2939C" w14:textId="6320AAC7" w:rsidR="00613D95" w:rsidRPr="00F66630" w:rsidRDefault="00613D95" w:rsidP="009A7B9A">
            <w:pPr>
              <w:spacing w:after="120"/>
              <w:rPr>
                <w:rFonts w:ascii="Times New Roman" w:hAnsi="Times New Roman" w:cs="Times New Roman"/>
                <w:b/>
                <w:bCs/>
              </w:rPr>
            </w:pPr>
            <w:r w:rsidRPr="00F66630">
              <w:rPr>
                <w:rFonts w:ascii="Times New Roman" w:eastAsia="Times New Roman" w:hAnsi="Times New Roman" w:cs="Times New Roman"/>
              </w:rPr>
              <w:t xml:space="preserve">2.2 Evidence of dissemination event to explain amendments to FY20 State budget published </w:t>
            </w:r>
            <w:r w:rsidR="000F3FAC" w:rsidRPr="00F66630">
              <w:rPr>
                <w:rFonts w:ascii="Times New Roman" w:eastAsia="Times New Roman" w:hAnsi="Times New Roman" w:cs="Times New Roman"/>
              </w:rPr>
              <w:t xml:space="preserve">online </w:t>
            </w:r>
            <w:r w:rsidRPr="00F66630">
              <w:rPr>
                <w:rFonts w:ascii="Times New Roman" w:eastAsia="Times New Roman" w:hAnsi="Times New Roman" w:cs="Times New Roman"/>
              </w:rPr>
              <w:t>along with the Citizens’ budget based on amended FY20 state budget by end September 2020 with functional online feedback mechanisms</w:t>
            </w:r>
          </w:p>
        </w:tc>
        <w:tc>
          <w:tcPr>
            <w:tcW w:w="3858" w:type="pct"/>
          </w:tcPr>
          <w:p w14:paraId="2564E26F" w14:textId="31879577" w:rsidR="000945CE" w:rsidRPr="00F66630" w:rsidRDefault="000945CE" w:rsidP="000945CE">
            <w:pPr>
              <w:rPr>
                <w:rFonts w:ascii="Times New Roman" w:eastAsia="Times New Roman" w:hAnsi="Times New Roman" w:cs="Times New Roman"/>
                <w:i/>
                <w:iCs/>
                <w:color w:val="000000"/>
              </w:rPr>
            </w:pPr>
            <w:r w:rsidRPr="00F66630">
              <w:rPr>
                <w:rFonts w:ascii="Times New Roman" w:eastAsia="Times New Roman" w:hAnsi="Times New Roman" w:cs="Times New Roman"/>
                <w:i/>
                <w:iCs/>
                <w:color w:val="000000"/>
              </w:rPr>
              <w:t>Dissemination for FY20 Amended Budget</w:t>
            </w:r>
          </w:p>
          <w:p w14:paraId="47E4F617" w14:textId="774490D2" w:rsidR="000945CE" w:rsidRPr="00F66630" w:rsidRDefault="000945CE" w:rsidP="000945CE">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Dissemination event means that State officials hold a physical or virtual town hall style public presentation for citizens and stakeholders to explain the amendments made to the FY20 State budget. Publish the evidence of the dissemination event on a state website, such as an online video record with list of attendees (with names, organizations, email addresses)</w:t>
            </w:r>
            <w:r w:rsidR="003F061F" w:rsidRPr="00F66630">
              <w:rPr>
                <w:rFonts w:ascii="Times New Roman" w:eastAsia="Times New Roman" w:hAnsi="Times New Roman" w:cs="Times New Roman"/>
                <w:color w:val="000000"/>
              </w:rPr>
              <w:t xml:space="preserve"> by September 30, </w:t>
            </w:r>
            <w:proofErr w:type="gramStart"/>
            <w:r w:rsidR="003F061F" w:rsidRPr="00F66630">
              <w:rPr>
                <w:rFonts w:ascii="Times New Roman" w:eastAsia="Times New Roman" w:hAnsi="Times New Roman" w:cs="Times New Roman"/>
                <w:color w:val="000000"/>
              </w:rPr>
              <w:t>2020</w:t>
            </w:r>
            <w:proofErr w:type="gramEnd"/>
            <w:r w:rsidR="003F061F" w:rsidRPr="00F66630">
              <w:rPr>
                <w:rFonts w:ascii="Times New Roman" w:eastAsia="Times New Roman" w:hAnsi="Times New Roman" w:cs="Times New Roman"/>
                <w:color w:val="000000"/>
              </w:rPr>
              <w:t xml:space="preserve"> </w:t>
            </w:r>
            <w:r w:rsidR="00D32F91" w:rsidRPr="00F66630">
              <w:rPr>
                <w:rFonts w:ascii="Times New Roman" w:eastAsia="Times New Roman" w:hAnsi="Times New Roman" w:cs="Times New Roman"/>
                <w:color w:val="000000"/>
              </w:rPr>
              <w:t xml:space="preserve">in the same location where the </w:t>
            </w:r>
            <w:r w:rsidR="00540961" w:rsidRPr="00F66630">
              <w:rPr>
                <w:rFonts w:ascii="Times New Roman" w:eastAsia="Times New Roman" w:hAnsi="Times New Roman" w:cs="Times New Roman"/>
                <w:color w:val="000000"/>
              </w:rPr>
              <w:t>A</w:t>
            </w:r>
            <w:r w:rsidR="00D32F91" w:rsidRPr="00F66630">
              <w:rPr>
                <w:rFonts w:ascii="Times New Roman" w:eastAsia="Times New Roman" w:hAnsi="Times New Roman" w:cs="Times New Roman"/>
                <w:color w:val="000000"/>
              </w:rPr>
              <w:t>mended FY20 budget has been published</w:t>
            </w:r>
            <w:r w:rsidRPr="00F66630">
              <w:rPr>
                <w:rFonts w:ascii="Times New Roman" w:eastAsia="Times New Roman" w:hAnsi="Times New Roman" w:cs="Times New Roman"/>
                <w:color w:val="000000"/>
              </w:rPr>
              <w:t>.</w:t>
            </w:r>
          </w:p>
          <w:p w14:paraId="7232F775" w14:textId="77777777" w:rsidR="000945CE" w:rsidRPr="00F66630" w:rsidRDefault="000945CE" w:rsidP="00613D95">
            <w:pPr>
              <w:rPr>
                <w:rFonts w:ascii="Times New Roman" w:eastAsia="Times New Roman" w:hAnsi="Times New Roman" w:cs="Times New Roman"/>
                <w:color w:val="000000"/>
              </w:rPr>
            </w:pPr>
          </w:p>
          <w:p w14:paraId="284C3386" w14:textId="77777777" w:rsidR="000945CE" w:rsidRPr="00F66630" w:rsidRDefault="000945CE" w:rsidP="000945CE">
            <w:pPr>
              <w:rPr>
                <w:rFonts w:ascii="Times New Roman" w:eastAsia="Times New Roman" w:hAnsi="Times New Roman" w:cs="Times New Roman"/>
                <w:i/>
                <w:iCs/>
                <w:color w:val="000000"/>
              </w:rPr>
            </w:pPr>
            <w:r w:rsidRPr="00F66630">
              <w:rPr>
                <w:rFonts w:ascii="Times New Roman" w:eastAsia="Times New Roman" w:hAnsi="Times New Roman" w:cs="Times New Roman"/>
                <w:i/>
                <w:iCs/>
                <w:color w:val="000000"/>
              </w:rPr>
              <w:t>Citizens’ Budget</w:t>
            </w:r>
          </w:p>
          <w:p w14:paraId="671598F8" w14:textId="1360C2A3" w:rsidR="000945CE" w:rsidRPr="00F66630" w:rsidRDefault="000945CE" w:rsidP="00613D95">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Citizens’ budget based on the State’s Amended FY20 budget published online means that the budget of the State government shall present the Amended FY20 budget in a summarized but comprehensible manner for citizens and posted on the State website(s) no later than September 30, 2020. The form and general content of the amended citizens’ budget shall clearly explain the key changes between the original FY20 budget and the amended budget, including data on reallocations and adjusted spending priorities. The state website must have a functional online feedback mechanism. </w:t>
            </w:r>
          </w:p>
        </w:tc>
      </w:tr>
      <w:tr w:rsidR="00073D21" w:rsidRPr="00F66630" w14:paraId="3ADDFDBE" w14:textId="77777777" w:rsidTr="00E15847">
        <w:tc>
          <w:tcPr>
            <w:tcW w:w="5000" w:type="pct"/>
            <w:gridSpan w:val="2"/>
            <w:shd w:val="clear" w:color="auto" w:fill="FDE9D9" w:themeFill="accent6" w:themeFillTint="33"/>
          </w:tcPr>
          <w:p w14:paraId="197F11E3" w14:textId="3CBA2965" w:rsidR="00073D21" w:rsidRPr="00F66630" w:rsidRDefault="00073D21" w:rsidP="00073D21">
            <w:pPr>
              <w:rPr>
                <w:rFonts w:ascii="Times New Roman" w:hAnsi="Times New Roman" w:cs="Times New Roman"/>
                <w:b/>
                <w:i/>
              </w:rPr>
            </w:pPr>
            <w:r w:rsidRPr="00F66630">
              <w:rPr>
                <w:rFonts w:ascii="Times New Roman" w:hAnsi="Times New Roman" w:cs="Times New Roman"/>
                <w:b/>
                <w:i/>
              </w:rPr>
              <w:t>Data Source and Procedures to assess achievement</w:t>
            </w:r>
          </w:p>
        </w:tc>
      </w:tr>
      <w:tr w:rsidR="00073D21" w:rsidRPr="00F66630" w14:paraId="6484BEE5" w14:textId="77777777" w:rsidTr="00E15847">
        <w:trPr>
          <w:trHeight w:val="791"/>
        </w:trPr>
        <w:tc>
          <w:tcPr>
            <w:tcW w:w="5000" w:type="pct"/>
            <w:gridSpan w:val="2"/>
          </w:tcPr>
          <w:p w14:paraId="507AA92B" w14:textId="77777777" w:rsidR="00073D21" w:rsidRPr="00F66630" w:rsidRDefault="00073D21" w:rsidP="00073D21">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1EA674EC" w14:textId="5457F21D" w:rsidR="00073D21" w:rsidRPr="00F66630" w:rsidRDefault="00073D21" w:rsidP="00E36965">
            <w:pPr>
              <w:pStyle w:val="CommentText"/>
              <w:numPr>
                <w:ilvl w:val="0"/>
                <w:numId w:val="27"/>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official website(s)</w:t>
            </w:r>
            <w:r w:rsidRPr="00F66630">
              <w:rPr>
                <w:rFonts w:ascii="Times New Roman" w:hAnsi="Times New Roman" w:cs="Times New Roman"/>
                <w:sz w:val="22"/>
                <w:szCs w:val="22"/>
              </w:rPr>
              <w:t>: the website of the Office of the Auditor-General for States, the website of the State Government, the website of relevant Ministries such as Finance, Budget and Economic Planning, the website of the State House of Assembly</w:t>
            </w:r>
          </w:p>
          <w:p w14:paraId="231B2C71" w14:textId="299828BA" w:rsidR="00073D21" w:rsidRPr="00F66630" w:rsidRDefault="00073D21" w:rsidP="00E36965">
            <w:pPr>
              <w:pStyle w:val="ListParagraph"/>
              <w:numPr>
                <w:ilvl w:val="0"/>
                <w:numId w:val="27"/>
              </w:numPr>
              <w:rPr>
                <w:rFonts w:ascii="Times New Roman" w:hAnsi="Times New Roman" w:cs="Times New Roman"/>
              </w:rPr>
            </w:pPr>
            <w:r w:rsidRPr="00F66630">
              <w:rPr>
                <w:rFonts w:ascii="Times New Roman" w:hAnsi="Times New Roman" w:cs="Times New Roman"/>
                <w:b/>
              </w:rPr>
              <w:t xml:space="preserve">State ministry of finance or budget and planning – </w:t>
            </w:r>
            <w:r w:rsidRPr="00F66630">
              <w:rPr>
                <w:rFonts w:ascii="Times New Roman" w:hAnsi="Times New Roman" w:cs="Times New Roman"/>
              </w:rPr>
              <w:t>to provide evidence of consultations</w:t>
            </w:r>
          </w:p>
        </w:tc>
      </w:tr>
      <w:tr w:rsidR="00073D21" w:rsidRPr="00F66630" w14:paraId="2F8E7942" w14:textId="77777777" w:rsidTr="00576639">
        <w:trPr>
          <w:trHeight w:val="620"/>
        </w:trPr>
        <w:tc>
          <w:tcPr>
            <w:tcW w:w="5000" w:type="pct"/>
            <w:gridSpan w:val="2"/>
          </w:tcPr>
          <w:p w14:paraId="3C42FA34" w14:textId="4162E2C8" w:rsidR="00073D21" w:rsidRPr="00F66630" w:rsidRDefault="00073D21" w:rsidP="00073D21">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Procedures</w:t>
            </w:r>
          </w:p>
          <w:p w14:paraId="72A4A85D" w14:textId="7B269499" w:rsidR="00073D21" w:rsidRPr="00F66630" w:rsidRDefault="00073D21" w:rsidP="00073D21">
            <w:pPr>
              <w:rPr>
                <w:rFonts w:ascii="Times New Roman" w:hAnsi="Times New Roman" w:cs="Times New Roman"/>
              </w:rPr>
            </w:pPr>
            <w:r w:rsidRPr="00F66630">
              <w:rPr>
                <w:rFonts w:ascii="Times New Roman" w:hAnsi="Times New Roman" w:cs="Times New Roman"/>
              </w:rPr>
              <w:t>The IVA will check the state official website(s) before and up to the deadline date for the online publication of the documents specified for each criterion and carry out the following:</w:t>
            </w:r>
          </w:p>
          <w:p w14:paraId="36DAA8ED" w14:textId="77777777" w:rsidR="00EF3DA6" w:rsidRPr="00F66630" w:rsidRDefault="00073D21" w:rsidP="00F40B40">
            <w:pPr>
              <w:pStyle w:val="ListParagraph"/>
              <w:numPr>
                <w:ilvl w:val="0"/>
                <w:numId w:val="12"/>
              </w:numPr>
              <w:rPr>
                <w:rFonts w:ascii="Times New Roman" w:hAnsi="Times New Roman" w:cs="Times New Roman"/>
              </w:rPr>
            </w:pPr>
            <w:r w:rsidRPr="00F66630">
              <w:rPr>
                <w:rFonts w:ascii="Times New Roman" w:hAnsi="Times New Roman" w:cs="Times New Roman"/>
              </w:rPr>
              <w:t>Review the publications on the State official website(s) on the Annual Budget</w:t>
            </w:r>
            <w:r w:rsidR="00EF3DA6" w:rsidRPr="00F66630">
              <w:rPr>
                <w:rFonts w:ascii="Times New Roman" w:hAnsi="Times New Roman" w:cs="Times New Roman"/>
              </w:rPr>
              <w:t>.</w:t>
            </w:r>
          </w:p>
          <w:p w14:paraId="5476964B" w14:textId="77777777" w:rsidR="00EF3DA6" w:rsidRPr="00F66630" w:rsidRDefault="00EF3DA6" w:rsidP="00F40B40">
            <w:pPr>
              <w:pStyle w:val="ListParagraph"/>
              <w:numPr>
                <w:ilvl w:val="0"/>
                <w:numId w:val="12"/>
              </w:numPr>
              <w:rPr>
                <w:rFonts w:ascii="Times New Roman" w:hAnsi="Times New Roman" w:cs="Times New Roman"/>
              </w:rPr>
            </w:pPr>
            <w:r w:rsidRPr="00F66630">
              <w:rPr>
                <w:rFonts w:ascii="Times New Roman" w:hAnsi="Times New Roman" w:cs="Times New Roman"/>
              </w:rPr>
              <w:t>Download and review all documents reflecting the minutes of public consultations into the annual budget</w:t>
            </w:r>
            <w:r w:rsidR="00073D21" w:rsidRPr="00F66630">
              <w:rPr>
                <w:rFonts w:ascii="Times New Roman" w:hAnsi="Times New Roman" w:cs="Times New Roman"/>
              </w:rPr>
              <w:t xml:space="preserve"> and confirm whether</w:t>
            </w:r>
            <w:r w:rsidRPr="00F66630">
              <w:rPr>
                <w:rFonts w:ascii="Times New Roman" w:hAnsi="Times New Roman" w:cs="Times New Roman"/>
              </w:rPr>
              <w:t>:</w:t>
            </w:r>
          </w:p>
          <w:p w14:paraId="5EAB97E5" w14:textId="3518D955" w:rsidR="00073D21" w:rsidRPr="00F66630" w:rsidRDefault="00073D21" w:rsidP="009A7B9A">
            <w:pPr>
              <w:pStyle w:val="ListParagraph"/>
              <w:numPr>
                <w:ilvl w:val="1"/>
                <w:numId w:val="12"/>
              </w:numPr>
              <w:rPr>
                <w:rFonts w:ascii="Times New Roman" w:hAnsi="Times New Roman" w:cs="Times New Roman"/>
              </w:rPr>
            </w:pPr>
            <w:r w:rsidRPr="00F66630">
              <w:rPr>
                <w:rFonts w:ascii="Times New Roman" w:hAnsi="Times New Roman" w:cs="Times New Roman"/>
              </w:rPr>
              <w:t>the minutes of the public consultations on the budget are signed by CSO representatives and are included and signposted on the home page of the website</w:t>
            </w:r>
            <w:r w:rsidR="00EF3DA6" w:rsidRPr="00F66630">
              <w:rPr>
                <w:rFonts w:ascii="Times New Roman" w:hAnsi="Times New Roman" w:cs="Times New Roman"/>
              </w:rPr>
              <w:t xml:space="preserve">; </w:t>
            </w:r>
            <w:r w:rsidR="00B8629C" w:rsidRPr="00F66630">
              <w:rPr>
                <w:rFonts w:ascii="Times New Roman" w:hAnsi="Times New Roman" w:cs="Times New Roman"/>
              </w:rPr>
              <w:t>and</w:t>
            </w:r>
          </w:p>
          <w:p w14:paraId="545016E2" w14:textId="34D83468" w:rsidR="007F0FED" w:rsidRPr="00F66630" w:rsidRDefault="007F0FED" w:rsidP="00576639">
            <w:pPr>
              <w:pStyle w:val="ListParagraph"/>
              <w:numPr>
                <w:ilvl w:val="1"/>
                <w:numId w:val="12"/>
              </w:numPr>
              <w:rPr>
                <w:rFonts w:ascii="Times New Roman" w:hAnsi="Times New Roman" w:cs="Times New Roman"/>
              </w:rPr>
            </w:pPr>
            <w:r w:rsidRPr="00F66630">
              <w:rPr>
                <w:rFonts w:ascii="Times New Roman" w:hAnsi="Times New Roman" w:cs="Times New Roman"/>
              </w:rPr>
              <w:t>the minutes of the public consultation and the proposed budget were all published online through the State’s official websites</w:t>
            </w:r>
            <w:r w:rsidR="00D12BBE" w:rsidRPr="00F66630">
              <w:rPr>
                <w:rFonts w:ascii="Times New Roman" w:hAnsi="Times New Roman" w:cs="Times New Roman"/>
              </w:rPr>
              <w:t xml:space="preserve">. The </w:t>
            </w:r>
            <w:r w:rsidRPr="00F66630">
              <w:rPr>
                <w:rFonts w:ascii="Times New Roman" w:hAnsi="Times New Roman" w:cs="Times New Roman"/>
              </w:rPr>
              <w:t>guideline i</w:t>
            </w:r>
            <w:r w:rsidR="00D12BBE" w:rsidRPr="00F66630">
              <w:rPr>
                <w:rFonts w:ascii="Times New Roman" w:hAnsi="Times New Roman" w:cs="Times New Roman"/>
              </w:rPr>
              <w:t xml:space="preserve">s one </w:t>
            </w:r>
            <w:r w:rsidRPr="00F66630">
              <w:rPr>
                <w:rFonts w:ascii="Times New Roman" w:hAnsi="Times New Roman" w:cs="Times New Roman"/>
              </w:rPr>
              <w:t>week after the presentation of the proposed FY 22 Budget to the State House of Assembly</w:t>
            </w:r>
            <w:r w:rsidR="00D12BBE" w:rsidRPr="00F66630">
              <w:rPr>
                <w:rFonts w:ascii="Times New Roman" w:hAnsi="Times New Roman" w:cs="Times New Roman"/>
              </w:rPr>
              <w:t>. For verification purpose it needs to be</w:t>
            </w:r>
            <w:r w:rsidR="0009599F" w:rsidRPr="00F66630">
              <w:rPr>
                <w:rFonts w:ascii="Times New Roman" w:hAnsi="Times New Roman" w:cs="Times New Roman"/>
              </w:rPr>
              <w:t xml:space="preserve"> published</w:t>
            </w:r>
            <w:r w:rsidR="00D12BBE" w:rsidRPr="00F66630">
              <w:rPr>
                <w:rFonts w:ascii="Times New Roman" w:hAnsi="Times New Roman" w:cs="Times New Roman"/>
              </w:rPr>
              <w:t xml:space="preserve"> </w:t>
            </w:r>
            <w:r w:rsidR="00996022" w:rsidRPr="00F66630">
              <w:rPr>
                <w:rFonts w:ascii="Times New Roman" w:hAnsi="Times New Roman" w:cs="Times New Roman"/>
              </w:rPr>
              <w:t>on or before</w:t>
            </w:r>
            <w:r w:rsidRPr="00F66630">
              <w:rPr>
                <w:rFonts w:ascii="Times New Roman" w:hAnsi="Times New Roman" w:cs="Times New Roman"/>
              </w:rPr>
              <w:t xml:space="preserve"> the deadline for the publication of the approved annual budget (the annual appropriation, as assented to by the Governor). </w:t>
            </w:r>
            <w:r w:rsidRPr="00F66630">
              <w:rPr>
                <w:rFonts w:ascii="Times New Roman" w:hAnsi="Times New Roman" w:cs="Times New Roman"/>
                <w:i/>
              </w:rPr>
              <w:t>The deadlines are 31 January 2021</w:t>
            </w:r>
            <w:r w:rsidR="004534A3" w:rsidRPr="00F66630">
              <w:rPr>
                <w:rFonts w:ascii="Times New Roman" w:hAnsi="Times New Roman" w:cs="Times New Roman"/>
                <w:i/>
              </w:rPr>
              <w:t xml:space="preserve"> for the FY21 annual budget and 31 January 2022 for the FY22 annual budget</w:t>
            </w:r>
            <w:r w:rsidRPr="00F66630">
              <w:rPr>
                <w:rFonts w:ascii="Times New Roman" w:hAnsi="Times New Roman" w:cs="Times New Roman"/>
              </w:rPr>
              <w:t>.</w:t>
            </w:r>
          </w:p>
          <w:p w14:paraId="7CC2F91C" w14:textId="79C5F99F" w:rsidR="00CE2CBD" w:rsidRPr="00F66630" w:rsidRDefault="00073D21" w:rsidP="004627E0">
            <w:pPr>
              <w:pStyle w:val="ListParagraph"/>
              <w:numPr>
                <w:ilvl w:val="0"/>
                <w:numId w:val="12"/>
              </w:numPr>
              <w:rPr>
                <w:rFonts w:ascii="Times New Roman" w:hAnsi="Times New Roman" w:cs="Times New Roman"/>
              </w:rPr>
            </w:pPr>
            <w:r w:rsidRPr="00F66630">
              <w:rPr>
                <w:rFonts w:ascii="Times New Roman" w:hAnsi="Times New Roman" w:cs="Times New Roman"/>
              </w:rPr>
              <w:t xml:space="preserve">For those states with minutes of public consultations, request the state ministry of finance or state ministry of budget and planning to provide further evidence that: </w:t>
            </w:r>
          </w:p>
          <w:p w14:paraId="346A0732" w14:textId="36F1CEE5" w:rsidR="00CE2CBD" w:rsidRPr="00F66630" w:rsidRDefault="00073D21" w:rsidP="00CE2CBD">
            <w:pPr>
              <w:pStyle w:val="ListParagraph"/>
              <w:numPr>
                <w:ilvl w:val="1"/>
                <w:numId w:val="12"/>
              </w:numPr>
              <w:rPr>
                <w:rFonts w:ascii="Times New Roman" w:hAnsi="Times New Roman" w:cs="Times New Roman"/>
              </w:rPr>
            </w:pPr>
            <w:r w:rsidRPr="00F66630">
              <w:rPr>
                <w:rFonts w:ascii="Times New Roman" w:hAnsi="Times New Roman" w:cs="Times New Roman"/>
              </w:rPr>
              <w:t xml:space="preserve">at least one ‘town-hall’ consultation was held before the budget was drafted; and </w:t>
            </w:r>
          </w:p>
          <w:p w14:paraId="1DC091E8" w14:textId="3A08FF5E" w:rsidR="00073D21" w:rsidRPr="00F66630" w:rsidRDefault="00794475" w:rsidP="009A7B9A">
            <w:pPr>
              <w:pStyle w:val="ListParagraph"/>
              <w:numPr>
                <w:ilvl w:val="1"/>
                <w:numId w:val="12"/>
              </w:numPr>
              <w:rPr>
                <w:rFonts w:ascii="Times New Roman" w:hAnsi="Times New Roman" w:cs="Times New Roman"/>
              </w:rPr>
            </w:pPr>
            <w:r w:rsidRPr="00F66630">
              <w:rPr>
                <w:rFonts w:ascii="Times New Roman" w:hAnsi="Times New Roman" w:cs="Times New Roman"/>
              </w:rPr>
              <w:t xml:space="preserve">For 2020: the </w:t>
            </w:r>
            <w:r w:rsidR="00073D21" w:rsidRPr="00F66630">
              <w:rPr>
                <w:rFonts w:ascii="Times New Roman" w:hAnsi="Times New Roman" w:cs="Times New Roman"/>
              </w:rPr>
              <w:t xml:space="preserve">consultations included the participation of </w:t>
            </w:r>
            <w:proofErr w:type="gramStart"/>
            <w:r w:rsidR="00073D21" w:rsidRPr="00F66630">
              <w:rPr>
                <w:rFonts w:ascii="Times New Roman" w:hAnsi="Times New Roman" w:cs="Times New Roman"/>
              </w:rPr>
              <w:t>state-based</w:t>
            </w:r>
            <w:proofErr w:type="gramEnd"/>
            <w:r w:rsidR="00073D21" w:rsidRPr="00F66630">
              <w:rPr>
                <w:rFonts w:ascii="Times New Roman" w:hAnsi="Times New Roman" w:cs="Times New Roman"/>
              </w:rPr>
              <w:t xml:space="preserve"> CSOs. The evidence may include photographs with timestamps, and attendance lists with contact information for attendees. The IVA may contact a sample of attendees to verify the information provided. </w:t>
            </w:r>
          </w:p>
          <w:p w14:paraId="45CA8935" w14:textId="1E7094EC" w:rsidR="00794475" w:rsidRPr="00F66630" w:rsidRDefault="00794475" w:rsidP="00794475">
            <w:pPr>
              <w:pStyle w:val="ListParagraph"/>
              <w:numPr>
                <w:ilvl w:val="1"/>
                <w:numId w:val="12"/>
              </w:numPr>
              <w:rPr>
                <w:rFonts w:ascii="Times New Roman" w:hAnsi="Times New Roman" w:cs="Times New Roman"/>
              </w:rPr>
            </w:pPr>
            <w:r w:rsidRPr="00F66630">
              <w:rPr>
                <w:rFonts w:ascii="Times New Roman" w:eastAsia="Times New Roman" w:hAnsi="Times New Roman" w:cs="Times New Roman"/>
                <w:color w:val="000000"/>
              </w:rPr>
              <w:lastRenderedPageBreak/>
              <w:t>For 2021: the consultations included citizens, citizens groups, state-based CBOs and state-based CSOs</w:t>
            </w:r>
            <w:r w:rsidRPr="00F66630">
              <w:rPr>
                <w:rFonts w:ascii="Times New Roman" w:hAnsi="Times New Roman" w:cs="Times New Roman"/>
              </w:rPr>
              <w:t xml:space="preserve">. The evidence may include photographs with timestamps, and attendance lists with contact information for attendees. The IVA may contact a sample of attendees to verify the information provided. </w:t>
            </w:r>
          </w:p>
          <w:p w14:paraId="4A980A28" w14:textId="77777777" w:rsidR="00794475" w:rsidRPr="00F66630" w:rsidRDefault="00794475" w:rsidP="009A7B9A">
            <w:pPr>
              <w:pStyle w:val="ListParagraph"/>
              <w:numPr>
                <w:ilvl w:val="1"/>
                <w:numId w:val="12"/>
              </w:numPr>
              <w:rPr>
                <w:rFonts w:ascii="Times New Roman" w:hAnsi="Times New Roman" w:cs="Times New Roman"/>
              </w:rPr>
            </w:pPr>
          </w:p>
          <w:p w14:paraId="333DA999" w14:textId="40899D13" w:rsidR="00CE2CBD" w:rsidRPr="00F66630" w:rsidRDefault="00CE2CBD" w:rsidP="00C15366">
            <w:pPr>
              <w:rPr>
                <w:rFonts w:ascii="Times New Roman" w:hAnsi="Times New Roman" w:cs="Times New Roman"/>
                <w:i/>
                <w:iCs/>
              </w:rPr>
            </w:pPr>
            <w:r w:rsidRPr="00F66630">
              <w:rPr>
                <w:rFonts w:ascii="Times New Roman" w:hAnsi="Times New Roman" w:cs="Times New Roman"/>
                <w:i/>
                <w:iCs/>
              </w:rPr>
              <w:t>Citizens’ Budget</w:t>
            </w:r>
          </w:p>
          <w:p w14:paraId="41F422BD" w14:textId="549B7151" w:rsidR="00F40B40" w:rsidRPr="00F66630" w:rsidRDefault="00F40B40" w:rsidP="00F40B40">
            <w:pPr>
              <w:pStyle w:val="ListParagraph"/>
              <w:numPr>
                <w:ilvl w:val="0"/>
                <w:numId w:val="12"/>
              </w:numPr>
              <w:rPr>
                <w:rFonts w:ascii="Times New Roman" w:hAnsi="Times New Roman" w:cs="Times New Roman"/>
              </w:rPr>
            </w:pPr>
            <w:r w:rsidRPr="00F66630">
              <w:rPr>
                <w:rFonts w:ascii="Times New Roman" w:hAnsi="Times New Roman" w:cs="Times New Roman"/>
              </w:rPr>
              <w:t>Confirm that the PCU (Home Finance Department) has provided the States with the form and general content of a citizens’ budget for ease of reference (done in March 2019</w:t>
            </w:r>
            <w:r w:rsidR="00CE2CBD" w:rsidRPr="00F66630">
              <w:rPr>
                <w:rFonts w:ascii="Times New Roman" w:hAnsi="Times New Roman" w:cs="Times New Roman"/>
              </w:rPr>
              <w:t xml:space="preserve"> with refresher in January 2020</w:t>
            </w:r>
            <w:r w:rsidRPr="00F66630">
              <w:rPr>
                <w:rFonts w:ascii="Times New Roman" w:hAnsi="Times New Roman" w:cs="Times New Roman"/>
              </w:rPr>
              <w:t>).</w:t>
            </w:r>
          </w:p>
          <w:p w14:paraId="4DE5781D" w14:textId="467A7AC0" w:rsidR="00F40B40" w:rsidRPr="00F66630" w:rsidRDefault="00F40B40" w:rsidP="00F40B40">
            <w:pPr>
              <w:pStyle w:val="ListParagraph"/>
              <w:numPr>
                <w:ilvl w:val="0"/>
                <w:numId w:val="12"/>
              </w:numPr>
              <w:rPr>
                <w:rFonts w:ascii="Times New Roman" w:hAnsi="Times New Roman" w:cs="Times New Roman"/>
              </w:rPr>
            </w:pPr>
            <w:r w:rsidRPr="00F66630">
              <w:rPr>
                <w:rFonts w:ascii="Times New Roman" w:hAnsi="Times New Roman" w:cs="Times New Roman"/>
              </w:rPr>
              <w:t>Obtain a copy of the Citizen</w:t>
            </w:r>
            <w:r w:rsidR="00ED1D61" w:rsidRPr="00F66630">
              <w:rPr>
                <w:rFonts w:ascii="Times New Roman" w:hAnsi="Times New Roman" w:cs="Times New Roman"/>
              </w:rPr>
              <w:t>s</w:t>
            </w:r>
            <w:r w:rsidRPr="00F66630">
              <w:rPr>
                <w:rFonts w:ascii="Times New Roman" w:hAnsi="Times New Roman" w:cs="Times New Roman"/>
              </w:rPr>
              <w:t>’ Budget directly from the State’s official website(s) and confirm the information included agrees with the full Annual Budget</w:t>
            </w:r>
            <w:r w:rsidR="00ED1D61" w:rsidRPr="00F66630">
              <w:rPr>
                <w:rFonts w:ascii="Times New Roman" w:hAnsi="Times New Roman" w:cs="Times New Roman"/>
              </w:rPr>
              <w:t xml:space="preserve"> / Amended Budget (2020)</w:t>
            </w:r>
            <w:r w:rsidRPr="00F66630">
              <w:rPr>
                <w:rFonts w:ascii="Times New Roman" w:hAnsi="Times New Roman" w:cs="Times New Roman"/>
              </w:rPr>
              <w:t>. Identify and report on any significant discrepancies with the standard template provided.</w:t>
            </w:r>
          </w:p>
          <w:p w14:paraId="773DC700" w14:textId="3740667F" w:rsidR="00F40B40" w:rsidRPr="00F66630" w:rsidRDefault="00F40B40" w:rsidP="00F40B40">
            <w:pPr>
              <w:pStyle w:val="ListParagraph"/>
              <w:numPr>
                <w:ilvl w:val="0"/>
                <w:numId w:val="12"/>
              </w:numPr>
              <w:rPr>
                <w:rFonts w:ascii="Times New Roman" w:hAnsi="Times New Roman" w:cs="Times New Roman"/>
              </w:rPr>
            </w:pPr>
            <w:r w:rsidRPr="00F66630">
              <w:rPr>
                <w:rFonts w:ascii="Times New Roman" w:hAnsi="Times New Roman" w:cs="Times New Roman"/>
              </w:rPr>
              <w:t>Obtain evidence to confirm the date of publication online and conclude on whether the Citizen</w:t>
            </w:r>
            <w:r w:rsidR="00ED1D61" w:rsidRPr="00F66630">
              <w:rPr>
                <w:rFonts w:ascii="Times New Roman" w:hAnsi="Times New Roman" w:cs="Times New Roman"/>
              </w:rPr>
              <w:t>s</w:t>
            </w:r>
            <w:r w:rsidRPr="00F66630">
              <w:rPr>
                <w:rFonts w:ascii="Times New Roman" w:hAnsi="Times New Roman" w:cs="Times New Roman"/>
              </w:rPr>
              <w:t xml:space="preserve">’ budget was published on or before </w:t>
            </w:r>
            <w:r w:rsidR="00ED1D61" w:rsidRPr="00F66630">
              <w:rPr>
                <w:rFonts w:ascii="Times New Roman" w:hAnsi="Times New Roman" w:cs="Times New Roman"/>
              </w:rPr>
              <w:t>the deadline</w:t>
            </w:r>
            <w:r w:rsidRPr="00F66630">
              <w:rPr>
                <w:rFonts w:ascii="Times New Roman" w:hAnsi="Times New Roman" w:cs="Times New Roman"/>
              </w:rPr>
              <w:t xml:space="preserve"> of the relevant fiscal year.</w:t>
            </w:r>
          </w:p>
          <w:p w14:paraId="006063F5" w14:textId="0B23BD9F" w:rsidR="004E6481" w:rsidRPr="00F66630" w:rsidRDefault="004E6481" w:rsidP="004E6481">
            <w:pPr>
              <w:pStyle w:val="ListParagraph"/>
              <w:numPr>
                <w:ilvl w:val="0"/>
                <w:numId w:val="12"/>
              </w:numPr>
              <w:rPr>
                <w:rFonts w:ascii="Times New Roman" w:hAnsi="Times New Roman" w:cs="Times New Roman"/>
              </w:rPr>
            </w:pPr>
            <w:r w:rsidRPr="00F66630">
              <w:rPr>
                <w:rFonts w:ascii="Times New Roman" w:hAnsi="Times New Roman" w:cs="Times New Roman"/>
              </w:rPr>
              <w:t xml:space="preserve">Confirm whether the Citizen’s budget is prepared in the format suggested to the States in the Citizen Budget User Manual and Excel Template. </w:t>
            </w:r>
            <w:r w:rsidR="009C6C48" w:rsidRPr="00F66630">
              <w:rPr>
                <w:rFonts w:ascii="Times New Roman" w:hAnsi="Times New Roman" w:cs="Times New Roman"/>
              </w:rPr>
              <w:t xml:space="preserve">Each state was provided training on </w:t>
            </w:r>
            <w:proofErr w:type="gramStart"/>
            <w:r w:rsidR="009C6C48" w:rsidRPr="00F66630">
              <w:rPr>
                <w:rFonts w:ascii="Times New Roman" w:hAnsi="Times New Roman" w:cs="Times New Roman"/>
              </w:rPr>
              <w:t>both of these</w:t>
            </w:r>
            <w:proofErr w:type="gramEnd"/>
            <w:r w:rsidR="009C6C48" w:rsidRPr="00F66630">
              <w:rPr>
                <w:rFonts w:ascii="Times New Roman" w:hAnsi="Times New Roman" w:cs="Times New Roman"/>
              </w:rPr>
              <w:t xml:space="preserve"> tools. </w:t>
            </w:r>
            <w:r w:rsidRPr="00F66630">
              <w:rPr>
                <w:rFonts w:ascii="Times New Roman" w:hAnsi="Times New Roman" w:cs="Times New Roman"/>
              </w:rPr>
              <w:t xml:space="preserve">Where a different format is used, compare with the suggested </w:t>
            </w:r>
            <w:r w:rsidR="0023349A" w:rsidRPr="00F66630">
              <w:rPr>
                <w:rFonts w:ascii="Times New Roman" w:hAnsi="Times New Roman" w:cs="Times New Roman"/>
              </w:rPr>
              <w:t>format,</w:t>
            </w:r>
            <w:r w:rsidRPr="00F66630">
              <w:rPr>
                <w:rFonts w:ascii="Times New Roman" w:hAnsi="Times New Roman" w:cs="Times New Roman"/>
              </w:rPr>
              <w:t xml:space="preserve"> and identify any significant differences. </w:t>
            </w:r>
            <w:r w:rsidR="001246B0" w:rsidRPr="00F66630">
              <w:rPr>
                <w:rFonts w:ascii="Times New Roman" w:hAnsi="Times New Roman" w:cs="Times New Roman"/>
              </w:rPr>
              <w:t xml:space="preserve">Confirm whether the </w:t>
            </w:r>
            <w:r w:rsidRPr="00F66630">
              <w:rPr>
                <w:rFonts w:ascii="Times New Roman" w:hAnsi="Times New Roman" w:cs="Times New Roman"/>
              </w:rPr>
              <w:t xml:space="preserve">minimum required </w:t>
            </w:r>
            <w:r w:rsidR="00F607C0" w:rsidRPr="00F66630">
              <w:rPr>
                <w:rFonts w:ascii="Times New Roman" w:hAnsi="Times New Roman" w:cs="Times New Roman"/>
              </w:rPr>
              <w:t xml:space="preserve">budget </w:t>
            </w:r>
            <w:r w:rsidRPr="00F66630">
              <w:rPr>
                <w:rFonts w:ascii="Times New Roman" w:hAnsi="Times New Roman" w:cs="Times New Roman"/>
              </w:rPr>
              <w:t xml:space="preserve">information </w:t>
            </w:r>
            <w:r w:rsidR="009C6C48" w:rsidRPr="00F66630">
              <w:rPr>
                <w:rFonts w:ascii="Times New Roman" w:hAnsi="Times New Roman" w:cs="Times New Roman"/>
              </w:rPr>
              <w:t xml:space="preserve">outlined above (extracted from the Citizen Budget User Manual and Template) </w:t>
            </w:r>
            <w:r w:rsidR="004D2909" w:rsidRPr="00F66630">
              <w:rPr>
                <w:rFonts w:ascii="Times New Roman" w:hAnsi="Times New Roman" w:cs="Times New Roman"/>
              </w:rPr>
              <w:t xml:space="preserve">has been </w:t>
            </w:r>
            <w:r w:rsidR="009C6C48" w:rsidRPr="00F66630">
              <w:rPr>
                <w:rFonts w:ascii="Times New Roman" w:hAnsi="Times New Roman" w:cs="Times New Roman"/>
              </w:rPr>
              <w:t>included</w:t>
            </w:r>
            <w:r w:rsidR="0035022B" w:rsidRPr="00F66630">
              <w:rPr>
                <w:rFonts w:ascii="Times New Roman" w:hAnsi="Times New Roman" w:cs="Times New Roman"/>
              </w:rPr>
              <w:t>.</w:t>
            </w:r>
          </w:p>
          <w:p w14:paraId="60B56B13" w14:textId="77777777" w:rsidR="00BD79F7" w:rsidRPr="00F66630" w:rsidRDefault="00BD79F7" w:rsidP="00BD79F7">
            <w:pPr>
              <w:pStyle w:val="ListParagraph"/>
              <w:ind w:left="1080"/>
              <w:rPr>
                <w:rFonts w:ascii="Times New Roman" w:hAnsi="Times New Roman" w:cs="Times New Roman"/>
              </w:rPr>
            </w:pPr>
          </w:p>
          <w:p w14:paraId="468C1900" w14:textId="77777777" w:rsidR="00421C19" w:rsidRPr="00F66630" w:rsidRDefault="00421C19" w:rsidP="00421C19">
            <w:pPr>
              <w:rPr>
                <w:rFonts w:ascii="Times New Roman" w:hAnsi="Times New Roman" w:cs="Times New Roman"/>
                <w:i/>
                <w:iCs/>
              </w:rPr>
            </w:pPr>
            <w:r w:rsidRPr="00F66630">
              <w:rPr>
                <w:rFonts w:ascii="Times New Roman" w:hAnsi="Times New Roman" w:cs="Times New Roman"/>
                <w:i/>
                <w:iCs/>
              </w:rPr>
              <w:t>For 2020 DLR 2.2</w:t>
            </w:r>
          </w:p>
          <w:p w14:paraId="07A7DEF5" w14:textId="77777777" w:rsidR="00421C19" w:rsidRPr="00F66630" w:rsidRDefault="00421C19" w:rsidP="00BD79F7">
            <w:pPr>
              <w:pStyle w:val="ListParagraph"/>
              <w:numPr>
                <w:ilvl w:val="0"/>
                <w:numId w:val="12"/>
              </w:numPr>
              <w:rPr>
                <w:rFonts w:ascii="Times New Roman" w:hAnsi="Times New Roman" w:cs="Times New Roman"/>
                <w:i/>
                <w:iCs/>
              </w:rPr>
            </w:pPr>
            <w:r w:rsidRPr="00F66630">
              <w:rPr>
                <w:rFonts w:ascii="Times New Roman" w:hAnsi="Times New Roman" w:cs="Times New Roman"/>
                <w:i/>
                <w:iCs/>
              </w:rPr>
              <w:t>Confirm whether the States held physical or virtual town hall meeting to explain amendments made to FY20 state budget.</w:t>
            </w:r>
          </w:p>
          <w:p w14:paraId="4E211B32" w14:textId="77777777" w:rsidR="00421C19" w:rsidRPr="00F66630" w:rsidRDefault="00421C19" w:rsidP="00BD79F7">
            <w:pPr>
              <w:pStyle w:val="ListParagraph"/>
              <w:numPr>
                <w:ilvl w:val="0"/>
                <w:numId w:val="12"/>
              </w:numPr>
              <w:rPr>
                <w:rFonts w:ascii="Times New Roman" w:hAnsi="Times New Roman" w:cs="Times New Roman"/>
                <w:i/>
                <w:iCs/>
              </w:rPr>
            </w:pPr>
            <w:r w:rsidRPr="00F66630">
              <w:rPr>
                <w:rFonts w:ascii="Times New Roman" w:hAnsi="Times New Roman" w:cs="Times New Roman"/>
                <w:i/>
                <w:iCs/>
              </w:rPr>
              <w:t>Download from the State’s websites, evidence of the meeting and confirm it is on same location as the Amended FY20 budget. The evidence may include online video record/physical video record photographs with timestamps, and attendance lists with contact information for attendees.</w:t>
            </w:r>
          </w:p>
          <w:p w14:paraId="671D1DDC" w14:textId="77777777" w:rsidR="00421C19" w:rsidRPr="00F66630" w:rsidRDefault="00421C19" w:rsidP="00BD79F7">
            <w:pPr>
              <w:pStyle w:val="ListParagraph"/>
              <w:numPr>
                <w:ilvl w:val="0"/>
                <w:numId w:val="12"/>
              </w:numPr>
              <w:rPr>
                <w:rFonts w:ascii="Times New Roman" w:hAnsi="Times New Roman" w:cs="Times New Roman"/>
                <w:i/>
                <w:iCs/>
              </w:rPr>
            </w:pPr>
            <w:r w:rsidRPr="00F66630">
              <w:rPr>
                <w:rFonts w:ascii="Times New Roman" w:hAnsi="Times New Roman" w:cs="Times New Roman"/>
                <w:i/>
                <w:iCs/>
              </w:rPr>
              <w:t>Confirm from the States’ websites the publication of citizens’ budget is posted no later than September 30,2020.</w:t>
            </w:r>
          </w:p>
          <w:p w14:paraId="630F72D0" w14:textId="77777777" w:rsidR="00421C19" w:rsidRPr="00F66630" w:rsidRDefault="00421C19" w:rsidP="00BD79F7">
            <w:pPr>
              <w:pStyle w:val="ListParagraph"/>
              <w:numPr>
                <w:ilvl w:val="0"/>
                <w:numId w:val="12"/>
              </w:numPr>
              <w:rPr>
                <w:rFonts w:ascii="Times New Roman" w:hAnsi="Times New Roman" w:cs="Times New Roman"/>
                <w:i/>
                <w:iCs/>
              </w:rPr>
            </w:pPr>
            <w:r w:rsidRPr="00F66630">
              <w:rPr>
                <w:rFonts w:ascii="Times New Roman" w:hAnsi="Times New Roman" w:cs="Times New Roman"/>
                <w:i/>
                <w:iCs/>
              </w:rPr>
              <w:t>Confirm that the amended Citizen’s budget clearly explains the key changes made between the original FY20 budget and the amended budget, including data on reallocations and adjusted spending priorities.</w:t>
            </w:r>
          </w:p>
          <w:p w14:paraId="2276E717" w14:textId="77777777" w:rsidR="00421C19" w:rsidRPr="00F66630" w:rsidRDefault="00421C19" w:rsidP="00C15366">
            <w:pPr>
              <w:rPr>
                <w:rFonts w:ascii="Times New Roman" w:hAnsi="Times New Roman" w:cs="Times New Roman"/>
                <w:i/>
                <w:iCs/>
              </w:rPr>
            </w:pPr>
          </w:p>
          <w:p w14:paraId="729A764F" w14:textId="29043BCD" w:rsidR="00ED1D61" w:rsidRPr="00F66630" w:rsidRDefault="00AD38FC" w:rsidP="00C15366">
            <w:pPr>
              <w:rPr>
                <w:rFonts w:ascii="Times New Roman" w:hAnsi="Times New Roman" w:cs="Times New Roman"/>
                <w:i/>
                <w:iCs/>
              </w:rPr>
            </w:pPr>
            <w:r w:rsidRPr="00F66630">
              <w:rPr>
                <w:rFonts w:ascii="Times New Roman" w:hAnsi="Times New Roman" w:cs="Times New Roman"/>
                <w:i/>
                <w:iCs/>
              </w:rPr>
              <w:t>Functional Feedback Mechanisms</w:t>
            </w:r>
          </w:p>
          <w:p w14:paraId="325B079F" w14:textId="77777777" w:rsidR="00725B72" w:rsidRPr="00F66630" w:rsidRDefault="00F40B40" w:rsidP="00F40B40">
            <w:pPr>
              <w:pStyle w:val="ListParagraph"/>
              <w:numPr>
                <w:ilvl w:val="0"/>
                <w:numId w:val="12"/>
              </w:numPr>
              <w:rPr>
                <w:rFonts w:ascii="Times New Roman" w:hAnsi="Times New Roman" w:cs="Times New Roman"/>
              </w:rPr>
            </w:pPr>
            <w:r w:rsidRPr="00F66630">
              <w:rPr>
                <w:rFonts w:ascii="Times New Roman" w:hAnsi="Times New Roman" w:cs="Times New Roman"/>
              </w:rPr>
              <w:t xml:space="preserve">Confirm whether the States’ website has functional feedback and response online mechanisms. </w:t>
            </w:r>
          </w:p>
          <w:p w14:paraId="0F00B53F" w14:textId="18E5EBDE" w:rsidR="00F40B40" w:rsidRPr="00F66630" w:rsidRDefault="00217237" w:rsidP="00F40B40">
            <w:pPr>
              <w:pStyle w:val="ListParagraph"/>
              <w:numPr>
                <w:ilvl w:val="0"/>
                <w:numId w:val="12"/>
              </w:numPr>
              <w:rPr>
                <w:rFonts w:ascii="Times New Roman" w:hAnsi="Times New Roman" w:cs="Times New Roman"/>
              </w:rPr>
            </w:pPr>
            <w:r w:rsidRPr="00F66630">
              <w:rPr>
                <w:rFonts w:ascii="Times New Roman" w:hAnsi="Times New Roman" w:cs="Times New Roman"/>
              </w:rPr>
              <w:t xml:space="preserve">Feedback mechanisms </w:t>
            </w:r>
            <w:r w:rsidR="00F40B40" w:rsidRPr="00F66630">
              <w:rPr>
                <w:rFonts w:ascii="Times New Roman" w:hAnsi="Times New Roman" w:cs="Times New Roman"/>
              </w:rPr>
              <w:t xml:space="preserve">are interpreted as, but not limited to, an online feedback submission form, free download site, live chat bot, social media dialogue, or voice-over-IP (VOIP) call in. An acknowledgement of receipt with clearly defined response procedure, timeframe, and government contact details is required. A ticket tracking system with IDs, documented case tracking, and weekly/monthly reporting is </w:t>
            </w:r>
            <w:r w:rsidRPr="00F66630">
              <w:rPr>
                <w:rFonts w:ascii="Times New Roman" w:hAnsi="Times New Roman" w:cs="Times New Roman"/>
              </w:rPr>
              <w:t>recommended but not compulsory</w:t>
            </w:r>
            <w:r w:rsidR="00F40B40" w:rsidRPr="00F66630">
              <w:rPr>
                <w:rFonts w:ascii="Times New Roman" w:hAnsi="Times New Roman" w:cs="Times New Roman"/>
              </w:rPr>
              <w:t xml:space="preserve">. </w:t>
            </w:r>
          </w:p>
          <w:p w14:paraId="180FC1E7" w14:textId="4AACDBAE" w:rsidR="00394012" w:rsidRPr="00F66630" w:rsidRDefault="009C4887" w:rsidP="00394012">
            <w:pPr>
              <w:pStyle w:val="ListParagraph"/>
              <w:numPr>
                <w:ilvl w:val="0"/>
                <w:numId w:val="12"/>
              </w:numPr>
              <w:rPr>
                <w:rFonts w:ascii="Times New Roman" w:hAnsi="Times New Roman" w:cs="Times New Roman"/>
              </w:rPr>
            </w:pPr>
            <w:r w:rsidRPr="00F66630">
              <w:rPr>
                <w:rFonts w:ascii="Times New Roman" w:hAnsi="Times New Roman" w:cs="Times New Roman"/>
              </w:rPr>
              <w:t>R</w:t>
            </w:r>
            <w:r w:rsidR="00F40B40" w:rsidRPr="00F66630">
              <w:rPr>
                <w:rFonts w:ascii="Times New Roman" w:hAnsi="Times New Roman" w:cs="Times New Roman"/>
              </w:rPr>
              <w:t xml:space="preserve">equest the state ministry of finance or state ministry of budget and planning to provide further evidence to demonstrate how the state has responded to feedback submitted online. </w:t>
            </w:r>
            <w:r w:rsidR="00147FA5" w:rsidRPr="00F66630">
              <w:rPr>
                <w:rFonts w:ascii="Times New Roman" w:hAnsi="Times New Roman" w:cs="Times New Roman"/>
              </w:rPr>
              <w:t>Response to every comment is not essential</w:t>
            </w:r>
            <w:r w:rsidR="00007904" w:rsidRPr="00F66630">
              <w:rPr>
                <w:rFonts w:ascii="Times New Roman" w:hAnsi="Times New Roman" w:cs="Times New Roman"/>
              </w:rPr>
              <w:t>. Individual responses may be provided</w:t>
            </w:r>
            <w:r w:rsidR="004D5291" w:rsidRPr="00F66630">
              <w:rPr>
                <w:rFonts w:ascii="Times New Roman" w:hAnsi="Times New Roman" w:cs="Times New Roman"/>
              </w:rPr>
              <w:t xml:space="preserve">, a response on similar issues may be given </w:t>
            </w:r>
            <w:r w:rsidR="00007904" w:rsidRPr="00F66630">
              <w:rPr>
                <w:rFonts w:ascii="Times New Roman" w:hAnsi="Times New Roman" w:cs="Times New Roman"/>
              </w:rPr>
              <w:t xml:space="preserve">or periodically </w:t>
            </w:r>
            <w:r w:rsidR="004D5291" w:rsidRPr="00F66630">
              <w:rPr>
                <w:rFonts w:ascii="Times New Roman" w:hAnsi="Times New Roman" w:cs="Times New Roman"/>
              </w:rPr>
              <w:t xml:space="preserve">responses posted by topic or </w:t>
            </w:r>
            <w:r w:rsidR="00687154" w:rsidRPr="00F66630">
              <w:rPr>
                <w:rFonts w:ascii="Times New Roman" w:hAnsi="Times New Roman" w:cs="Times New Roman"/>
              </w:rPr>
              <w:t>other classification. T</w:t>
            </w:r>
            <w:r w:rsidR="00147FA5" w:rsidRPr="00F66630">
              <w:rPr>
                <w:rFonts w:ascii="Times New Roman" w:hAnsi="Times New Roman" w:cs="Times New Roman"/>
              </w:rPr>
              <w:t xml:space="preserve">he IVA must form a view on whether the feedback mechanism </w:t>
            </w:r>
            <w:r w:rsidR="00007904" w:rsidRPr="00F66630">
              <w:rPr>
                <w:rFonts w:ascii="Times New Roman" w:hAnsi="Times New Roman" w:cs="Times New Roman"/>
              </w:rPr>
              <w:t>is working</w:t>
            </w:r>
            <w:r w:rsidR="00217237" w:rsidRPr="00F66630">
              <w:rPr>
                <w:rFonts w:ascii="Times New Roman" w:hAnsi="Times New Roman" w:cs="Times New Roman"/>
              </w:rPr>
              <w:t>.</w:t>
            </w:r>
          </w:p>
        </w:tc>
      </w:tr>
      <w:tr w:rsidR="00073D21" w:rsidRPr="00F66630" w14:paraId="3C6E39AA" w14:textId="77777777" w:rsidTr="00C50865">
        <w:tc>
          <w:tcPr>
            <w:tcW w:w="5000" w:type="pct"/>
            <w:gridSpan w:val="2"/>
            <w:shd w:val="clear" w:color="auto" w:fill="FDE9D9" w:themeFill="accent6" w:themeFillTint="33"/>
          </w:tcPr>
          <w:p w14:paraId="63FEAE36" w14:textId="59C68273" w:rsidR="00073D21" w:rsidRPr="00F66630" w:rsidRDefault="00073D21" w:rsidP="00073D21">
            <w:pPr>
              <w:rPr>
                <w:rFonts w:ascii="Times New Roman" w:hAnsi="Times New Roman" w:cs="Times New Roman"/>
                <w:b/>
                <w:i/>
              </w:rPr>
            </w:pPr>
            <w:r w:rsidRPr="00F66630">
              <w:rPr>
                <w:rFonts w:ascii="Times New Roman" w:hAnsi="Times New Roman" w:cs="Times New Roman"/>
                <w:b/>
                <w:i/>
              </w:rPr>
              <w:lastRenderedPageBreak/>
              <w:t xml:space="preserve">Data Source and Procedures </w:t>
            </w:r>
          </w:p>
        </w:tc>
      </w:tr>
      <w:tr w:rsidR="00073D21" w:rsidRPr="00F66630" w14:paraId="63E925DF" w14:textId="77777777" w:rsidTr="009C154A">
        <w:trPr>
          <w:trHeight w:val="470"/>
        </w:trPr>
        <w:tc>
          <w:tcPr>
            <w:tcW w:w="1142" w:type="pct"/>
            <w:shd w:val="clear" w:color="auto" w:fill="FDE9D9" w:themeFill="accent6" w:themeFillTint="33"/>
          </w:tcPr>
          <w:p w14:paraId="0E021110" w14:textId="175B2042" w:rsidR="00073D21" w:rsidRPr="00F66630" w:rsidRDefault="00073D21" w:rsidP="00073D21">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858" w:type="pct"/>
            <w:shd w:val="clear" w:color="auto" w:fill="FDE9D9" w:themeFill="accent6" w:themeFillTint="33"/>
          </w:tcPr>
          <w:p w14:paraId="00554FF5" w14:textId="37977A62" w:rsidR="00073D21" w:rsidRPr="00F66630" w:rsidRDefault="00073D21" w:rsidP="00073D21">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073D21" w:rsidRPr="00F66630" w14:paraId="276BFA4E" w14:textId="77777777" w:rsidTr="009C154A">
        <w:trPr>
          <w:trHeight w:val="530"/>
        </w:trPr>
        <w:tc>
          <w:tcPr>
            <w:tcW w:w="1142" w:type="pct"/>
          </w:tcPr>
          <w:p w14:paraId="5262E0F6" w14:textId="7A95005D" w:rsidR="004571BB" w:rsidRPr="00F66630" w:rsidRDefault="00073D21" w:rsidP="00073D21">
            <w:pPr>
              <w:rPr>
                <w:rFonts w:ascii="Times New Roman" w:hAnsi="Times New Roman" w:cs="Times New Roman"/>
                <w:b/>
                <w:bCs/>
              </w:rPr>
            </w:pPr>
            <w:r w:rsidRPr="00F66630">
              <w:rPr>
                <w:rFonts w:ascii="Times New Roman" w:hAnsi="Times New Roman" w:cs="Times New Roman"/>
                <w:b/>
                <w:bCs/>
              </w:rPr>
              <w:t>For 2021</w:t>
            </w:r>
          </w:p>
          <w:p w14:paraId="3FBC622F" w14:textId="77777777" w:rsidR="004571BB" w:rsidRPr="00F66630" w:rsidRDefault="00073D21" w:rsidP="00073D21">
            <w:pPr>
              <w:rPr>
                <w:rFonts w:ascii="Times New Roman" w:hAnsi="Times New Roman" w:cs="Times New Roman"/>
              </w:rPr>
            </w:pPr>
            <w:r w:rsidRPr="00F66630">
              <w:rPr>
                <w:rFonts w:ascii="Times New Roman" w:hAnsi="Times New Roman" w:cs="Times New Roman"/>
              </w:rPr>
              <w:t>2.2 Citizens accountability report based on audited financial statements/reports published online for FY2020, no later than September 2021</w:t>
            </w:r>
          </w:p>
          <w:p w14:paraId="50767707" w14:textId="4F81C055" w:rsidR="00232FE6" w:rsidRPr="00F66630" w:rsidRDefault="00232FE6" w:rsidP="00073D21">
            <w:pPr>
              <w:rPr>
                <w:rFonts w:ascii="Times New Roman" w:hAnsi="Times New Roman" w:cs="Times New Roman"/>
              </w:rPr>
            </w:pPr>
          </w:p>
        </w:tc>
        <w:tc>
          <w:tcPr>
            <w:tcW w:w="3858" w:type="pct"/>
          </w:tcPr>
          <w:p w14:paraId="644857DE" w14:textId="2330423D" w:rsidR="00B61E5E" w:rsidRPr="00F66630" w:rsidRDefault="00073D21" w:rsidP="00073D21">
            <w:pPr>
              <w:rPr>
                <w:rFonts w:ascii="Times New Roman" w:hAnsi="Times New Roman" w:cs="Times New Roman"/>
              </w:rPr>
            </w:pPr>
            <w:r w:rsidRPr="00F66630">
              <w:rPr>
                <w:rFonts w:ascii="Times New Roman" w:hAnsi="Times New Roman" w:cs="Times New Roman"/>
              </w:rPr>
              <w:t xml:space="preserve">Citizen’s accountability reports are summarized and comprehensible versions of the audited financial statements </w:t>
            </w:r>
            <w:r w:rsidR="00990C7C" w:rsidRPr="00F66630">
              <w:rPr>
                <w:rFonts w:ascii="Times New Roman" w:hAnsi="Times New Roman" w:cs="Times New Roman"/>
              </w:rPr>
              <w:t xml:space="preserve">and details of State government public consultations with citizens presenting the annual financial statements </w:t>
            </w:r>
            <w:r w:rsidRPr="00F66630">
              <w:rPr>
                <w:rFonts w:ascii="Times New Roman" w:hAnsi="Times New Roman" w:cs="Times New Roman"/>
              </w:rPr>
              <w:t xml:space="preserve">that are made available on the state official website(s) by September of each subsequent financial year. </w:t>
            </w:r>
          </w:p>
          <w:p w14:paraId="64809DDE" w14:textId="77777777" w:rsidR="00B61E5E" w:rsidRPr="00F66630" w:rsidRDefault="00B61E5E" w:rsidP="00073D21">
            <w:pPr>
              <w:rPr>
                <w:rFonts w:ascii="Times New Roman" w:hAnsi="Times New Roman" w:cs="Times New Roman"/>
              </w:rPr>
            </w:pPr>
          </w:p>
          <w:p w14:paraId="5009EA3D" w14:textId="465FCE78" w:rsidR="00073D21" w:rsidRPr="00F66630" w:rsidRDefault="009D1658" w:rsidP="00073D21">
            <w:pPr>
              <w:rPr>
                <w:rFonts w:ascii="Times New Roman" w:hAnsi="Times New Roman" w:cs="Times New Roman"/>
              </w:rPr>
            </w:pPr>
            <w:r w:rsidRPr="00F66630">
              <w:rPr>
                <w:rFonts w:ascii="Times New Roman" w:hAnsi="Times New Roman" w:cs="Times New Roman"/>
              </w:rPr>
              <w:t xml:space="preserve">A template with </w:t>
            </w:r>
            <w:r w:rsidRPr="00F66630">
              <w:rPr>
                <w:rFonts w:ascii="Times New Roman" w:eastAsia="Times New Roman" w:hAnsi="Times New Roman" w:cs="Times New Roman"/>
                <w:color w:val="000000"/>
              </w:rPr>
              <w:t xml:space="preserve">the </w:t>
            </w:r>
            <w:r w:rsidR="00073D21" w:rsidRPr="00F66630">
              <w:rPr>
                <w:rFonts w:ascii="Times New Roman" w:eastAsia="Times New Roman" w:hAnsi="Times New Roman" w:cs="Times New Roman"/>
                <w:color w:val="000000"/>
              </w:rPr>
              <w:t>form and general content of the accountability report to citizens</w:t>
            </w:r>
            <w:r w:rsidR="00B61E5E" w:rsidRPr="00F66630">
              <w:rPr>
                <w:rFonts w:ascii="Times New Roman" w:eastAsia="Times New Roman" w:hAnsi="Times New Roman" w:cs="Times New Roman"/>
                <w:color w:val="000000"/>
              </w:rPr>
              <w:t>, including the minimum acceptable content,</w:t>
            </w:r>
            <w:r w:rsidR="00073D21" w:rsidRPr="00F66630">
              <w:rPr>
                <w:rFonts w:ascii="Times New Roman" w:eastAsia="Times New Roman" w:hAnsi="Times New Roman" w:cs="Times New Roman"/>
                <w:color w:val="000000"/>
              </w:rPr>
              <w:t xml:space="preserve"> shall be provided to each state for ease of reference.</w:t>
            </w:r>
          </w:p>
        </w:tc>
      </w:tr>
      <w:tr w:rsidR="00073D21" w:rsidRPr="00F66630" w14:paraId="0C8F9873" w14:textId="77777777" w:rsidTr="00E15847">
        <w:tc>
          <w:tcPr>
            <w:tcW w:w="5000" w:type="pct"/>
            <w:gridSpan w:val="2"/>
            <w:shd w:val="clear" w:color="auto" w:fill="FDE9D9" w:themeFill="accent6" w:themeFillTint="33"/>
          </w:tcPr>
          <w:p w14:paraId="6CAEE4E2" w14:textId="6FCAFE07" w:rsidR="00073D21" w:rsidRPr="00F66630" w:rsidRDefault="00073D21" w:rsidP="00073D21">
            <w:pPr>
              <w:rPr>
                <w:rFonts w:ascii="Times New Roman" w:hAnsi="Times New Roman" w:cs="Times New Roman"/>
                <w:b/>
                <w:i/>
              </w:rPr>
            </w:pPr>
            <w:r w:rsidRPr="00F66630">
              <w:rPr>
                <w:rFonts w:ascii="Times New Roman" w:hAnsi="Times New Roman" w:cs="Times New Roman"/>
                <w:b/>
                <w:i/>
              </w:rPr>
              <w:t xml:space="preserve">Data Source and Procedures </w:t>
            </w:r>
          </w:p>
        </w:tc>
      </w:tr>
      <w:tr w:rsidR="00073D21" w:rsidRPr="00F66630" w14:paraId="6B207688" w14:textId="77777777" w:rsidTr="00E15847">
        <w:trPr>
          <w:trHeight w:val="530"/>
        </w:trPr>
        <w:tc>
          <w:tcPr>
            <w:tcW w:w="5000" w:type="pct"/>
            <w:gridSpan w:val="2"/>
          </w:tcPr>
          <w:p w14:paraId="7373B69D" w14:textId="77777777" w:rsidR="00073D21" w:rsidRPr="00F66630" w:rsidRDefault="00073D21" w:rsidP="00073D21">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3DAEA8BD" w14:textId="77777777" w:rsidR="00073D21" w:rsidRPr="00F66630" w:rsidRDefault="00073D21" w:rsidP="00073D21">
            <w:pPr>
              <w:rPr>
                <w:rFonts w:ascii="Times New Roman" w:hAnsi="Times New Roman" w:cs="Times New Roman"/>
              </w:rPr>
            </w:pPr>
            <w:r w:rsidRPr="00F66630">
              <w:rPr>
                <w:rFonts w:ascii="Times New Roman" w:eastAsia="Times New Roman" w:hAnsi="Times New Roman" w:cs="Times New Roman"/>
                <w:b/>
                <w:bCs/>
                <w:iCs/>
              </w:rPr>
              <w:t>State official website(s)</w:t>
            </w:r>
            <w:r w:rsidRPr="00F66630">
              <w:rPr>
                <w:rFonts w:ascii="Times New Roman" w:hAnsi="Times New Roman" w:cs="Times New Roman"/>
              </w:rPr>
              <w:t>: the website of the Office of the Auditor-General for States, the website of the State Government, the website of relevant Ministries such as Finance, Budget and Economic Planning, the website of the State House of Assembly</w:t>
            </w:r>
          </w:p>
          <w:p w14:paraId="1759CD2A" w14:textId="393191AF" w:rsidR="00073D21" w:rsidRPr="00F66630" w:rsidRDefault="00073D21" w:rsidP="00073D21">
            <w:pPr>
              <w:rPr>
                <w:rFonts w:ascii="Times New Roman" w:eastAsia="Times New Roman" w:hAnsi="Times New Roman" w:cs="Times New Roman"/>
                <w:b/>
                <w:bCs/>
                <w:i/>
                <w:iCs/>
                <w:u w:val="single"/>
              </w:rPr>
            </w:pPr>
          </w:p>
        </w:tc>
      </w:tr>
      <w:tr w:rsidR="00073D21" w:rsidRPr="00F66630" w14:paraId="3B43365B" w14:textId="77777777" w:rsidTr="00E15847">
        <w:trPr>
          <w:trHeight w:val="530"/>
        </w:trPr>
        <w:tc>
          <w:tcPr>
            <w:tcW w:w="5000" w:type="pct"/>
            <w:gridSpan w:val="2"/>
          </w:tcPr>
          <w:p w14:paraId="6739D509" w14:textId="5E297A37" w:rsidR="00073D21" w:rsidRPr="00F66630" w:rsidRDefault="00073D21" w:rsidP="00073D21">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Procedures</w:t>
            </w:r>
          </w:p>
          <w:p w14:paraId="14AC6D83" w14:textId="708C1D0B" w:rsidR="00073D21" w:rsidRPr="00F66630" w:rsidRDefault="00073D21" w:rsidP="00073D21">
            <w:pPr>
              <w:rPr>
                <w:rFonts w:ascii="Times New Roman" w:hAnsi="Times New Roman" w:cs="Times New Roman"/>
              </w:rPr>
            </w:pPr>
            <w:r w:rsidRPr="00F66630">
              <w:rPr>
                <w:rFonts w:ascii="Times New Roman" w:hAnsi="Times New Roman" w:cs="Times New Roman"/>
              </w:rPr>
              <w:t>The IVA will carry out the following:</w:t>
            </w:r>
          </w:p>
          <w:p w14:paraId="750ABF6C" w14:textId="6A84E0D9" w:rsidR="00073D21" w:rsidRPr="00F66630" w:rsidRDefault="00073D21" w:rsidP="00E36965">
            <w:pPr>
              <w:pStyle w:val="ListParagraph"/>
              <w:numPr>
                <w:ilvl w:val="0"/>
                <w:numId w:val="13"/>
              </w:numPr>
              <w:rPr>
                <w:rFonts w:ascii="Times New Roman" w:hAnsi="Times New Roman" w:cs="Times New Roman"/>
              </w:rPr>
            </w:pPr>
            <w:r w:rsidRPr="00F66630">
              <w:rPr>
                <w:rFonts w:ascii="Times New Roman" w:hAnsi="Times New Roman" w:cs="Times New Roman"/>
              </w:rPr>
              <w:t xml:space="preserve">Confirm that the PCU (Home Finance Department) </w:t>
            </w:r>
            <w:r w:rsidR="009C3C54" w:rsidRPr="00F66630">
              <w:rPr>
                <w:rFonts w:ascii="Times New Roman" w:hAnsi="Times New Roman" w:cs="Times New Roman"/>
              </w:rPr>
              <w:t xml:space="preserve">or OGP Secretariat </w:t>
            </w:r>
            <w:r w:rsidRPr="00F66630">
              <w:rPr>
                <w:rFonts w:ascii="Times New Roman" w:hAnsi="Times New Roman" w:cs="Times New Roman"/>
              </w:rPr>
              <w:t xml:space="preserve">has provided the States with </w:t>
            </w:r>
            <w:r w:rsidR="009C3C54" w:rsidRPr="00F66630">
              <w:rPr>
                <w:rFonts w:ascii="Times New Roman" w:hAnsi="Times New Roman" w:cs="Times New Roman"/>
              </w:rPr>
              <w:t>a template</w:t>
            </w:r>
            <w:r w:rsidRPr="00F66630">
              <w:rPr>
                <w:rFonts w:ascii="Times New Roman" w:hAnsi="Times New Roman" w:cs="Times New Roman"/>
              </w:rPr>
              <w:t xml:space="preserve"> of a citizens’ accountability report for ease of reference, and when this was done. </w:t>
            </w:r>
          </w:p>
          <w:p w14:paraId="4BFF60B0" w14:textId="28B21225" w:rsidR="00073D21" w:rsidRPr="00F66630" w:rsidRDefault="00073D21" w:rsidP="00E36965">
            <w:pPr>
              <w:pStyle w:val="ListParagraph"/>
              <w:numPr>
                <w:ilvl w:val="0"/>
                <w:numId w:val="13"/>
              </w:numPr>
              <w:rPr>
                <w:rFonts w:ascii="Times New Roman" w:hAnsi="Times New Roman" w:cs="Times New Roman"/>
              </w:rPr>
            </w:pPr>
            <w:r w:rsidRPr="00F66630">
              <w:rPr>
                <w:rFonts w:ascii="Times New Roman" w:hAnsi="Times New Roman" w:cs="Times New Roman"/>
              </w:rPr>
              <w:t>Obtain a copy of the Citizen’s Accountability Report from the State’s official website(s) on or before 30 Sept 2021 and confirm it agrees with the full Annual Audit Report published by the Auditor-General for the State.</w:t>
            </w:r>
          </w:p>
          <w:p w14:paraId="4F231281" w14:textId="50B68D3A" w:rsidR="00073D21" w:rsidRPr="00F66630" w:rsidRDefault="00073D21" w:rsidP="00E36965">
            <w:pPr>
              <w:pStyle w:val="ListParagraph"/>
              <w:numPr>
                <w:ilvl w:val="0"/>
                <w:numId w:val="13"/>
              </w:numPr>
              <w:rPr>
                <w:rFonts w:ascii="Times New Roman" w:hAnsi="Times New Roman" w:cs="Times New Roman"/>
              </w:rPr>
            </w:pPr>
            <w:r w:rsidRPr="00F66630">
              <w:rPr>
                <w:rFonts w:ascii="Times New Roman" w:hAnsi="Times New Roman" w:cs="Times New Roman"/>
              </w:rPr>
              <w:t xml:space="preserve">Confirm whether the Citizen’s Accountability report was prepared </w:t>
            </w:r>
            <w:r w:rsidR="00B61E5E" w:rsidRPr="00F66630">
              <w:rPr>
                <w:rFonts w:ascii="Times New Roman" w:hAnsi="Times New Roman" w:cs="Times New Roman"/>
              </w:rPr>
              <w:t>according to the template</w:t>
            </w:r>
            <w:r w:rsidRPr="00F66630">
              <w:rPr>
                <w:rFonts w:ascii="Times New Roman" w:hAnsi="Times New Roman" w:cs="Times New Roman"/>
              </w:rPr>
              <w:t xml:space="preserve"> suggested to the States. Where a different format is used, compare with the </w:t>
            </w:r>
            <w:r w:rsidR="0023349A" w:rsidRPr="00F66630">
              <w:rPr>
                <w:rFonts w:ascii="Times New Roman" w:hAnsi="Times New Roman" w:cs="Times New Roman"/>
              </w:rPr>
              <w:t>template,</w:t>
            </w:r>
            <w:r w:rsidRPr="00F66630">
              <w:rPr>
                <w:rFonts w:ascii="Times New Roman" w:hAnsi="Times New Roman" w:cs="Times New Roman"/>
              </w:rPr>
              <w:t xml:space="preserve"> and identify any significant differences. Conclude on whether the adopted format is acceptable.</w:t>
            </w:r>
          </w:p>
          <w:p w14:paraId="0F43E8B6" w14:textId="0E14CDAD" w:rsidR="00073D21" w:rsidRPr="00F66630" w:rsidRDefault="00073D21" w:rsidP="00073D21">
            <w:pPr>
              <w:rPr>
                <w:rFonts w:ascii="Times New Roman" w:hAnsi="Times New Roman" w:cs="Times New Roman"/>
              </w:rPr>
            </w:pPr>
          </w:p>
        </w:tc>
      </w:tr>
    </w:tbl>
    <w:p w14:paraId="670C38E7" w14:textId="17B9B4AF" w:rsidR="006544DE" w:rsidRPr="00F66630" w:rsidRDefault="006544DE"/>
    <w:p w14:paraId="3D57E62D" w14:textId="77777777" w:rsidR="00BD3998" w:rsidRPr="00F66630" w:rsidRDefault="00BD3998">
      <w:r w:rsidRPr="00F66630">
        <w:rPr>
          <w:b/>
          <w:bCs/>
        </w:rPr>
        <w:br w:type="page"/>
      </w:r>
    </w:p>
    <w:tbl>
      <w:tblPr>
        <w:tblStyle w:val="TableGrid"/>
        <w:tblW w:w="5315" w:type="pct"/>
        <w:tblLook w:val="04A0" w:firstRow="1" w:lastRow="0" w:firstColumn="1" w:lastColumn="0" w:noHBand="0" w:noVBand="1"/>
      </w:tblPr>
      <w:tblGrid>
        <w:gridCol w:w="2690"/>
        <w:gridCol w:w="11076"/>
      </w:tblGrid>
      <w:tr w:rsidR="007D562A" w:rsidRPr="00F66630" w14:paraId="6DC62462" w14:textId="77777777" w:rsidTr="00E15847">
        <w:trPr>
          <w:trHeight w:val="287"/>
        </w:trPr>
        <w:tc>
          <w:tcPr>
            <w:tcW w:w="5000" w:type="pct"/>
            <w:gridSpan w:val="2"/>
            <w:shd w:val="clear" w:color="auto" w:fill="EAF1DD" w:themeFill="accent3" w:themeFillTint="33"/>
          </w:tcPr>
          <w:p w14:paraId="167A52C6" w14:textId="173A944C" w:rsidR="007D562A" w:rsidRPr="00F66630" w:rsidRDefault="006F1F34" w:rsidP="00213F3A">
            <w:pPr>
              <w:pStyle w:val="Heading3"/>
              <w:numPr>
                <w:ilvl w:val="0"/>
                <w:numId w:val="0"/>
              </w:numPr>
              <w:outlineLvl w:val="2"/>
              <w:rPr>
                <w:rFonts w:cs="Times New Roman"/>
              </w:rPr>
            </w:pPr>
            <w:r w:rsidRPr="00F66630">
              <w:lastRenderedPageBreak/>
              <w:br w:type="page"/>
            </w:r>
            <w:r w:rsidR="00BB1303" w:rsidRPr="00F66630">
              <w:rPr>
                <w:sz w:val="22"/>
                <w:szCs w:val="22"/>
              </w:rPr>
              <w:br w:type="page"/>
            </w:r>
            <w:bookmarkStart w:id="23" w:name="_Toc107345849"/>
            <w:r w:rsidR="00BB1303" w:rsidRPr="00F66630">
              <w:rPr>
                <w:sz w:val="22"/>
                <w:szCs w:val="22"/>
              </w:rPr>
              <w:t xml:space="preserve">ORIGINAL </w:t>
            </w:r>
            <w:r w:rsidR="007D562A" w:rsidRPr="00F66630">
              <w:rPr>
                <w:rFonts w:ascii="Times New Roman Bold" w:eastAsia="Calibri" w:hAnsi="Times New Roman Bold"/>
                <w:sz w:val="22"/>
                <w:szCs w:val="22"/>
              </w:rPr>
              <w:t>DLI 3: Improved cash management and reduced revenue leakages through implementation of State TSA</w:t>
            </w:r>
            <w:bookmarkEnd w:id="23"/>
          </w:p>
        </w:tc>
      </w:tr>
      <w:tr w:rsidR="007D562A" w:rsidRPr="00F66630" w14:paraId="0D3CEE47" w14:textId="77777777" w:rsidTr="00E15847">
        <w:trPr>
          <w:trHeight w:val="470"/>
        </w:trPr>
        <w:tc>
          <w:tcPr>
            <w:tcW w:w="977" w:type="pct"/>
            <w:shd w:val="clear" w:color="auto" w:fill="FDE9D9" w:themeFill="accent6" w:themeFillTint="33"/>
          </w:tcPr>
          <w:p w14:paraId="08509B88" w14:textId="099F20B4" w:rsidR="007D562A" w:rsidRPr="00F66630" w:rsidRDefault="001A0310" w:rsidP="007D562A">
            <w:pPr>
              <w:rPr>
                <w:rFonts w:ascii="Times New Roman" w:hAnsi="Times New Roman" w:cs="Times New Roman"/>
                <w:b/>
                <w:i/>
              </w:rPr>
            </w:pPr>
            <w:r w:rsidRPr="00F66630">
              <w:rPr>
                <w:rFonts w:ascii="Times New Roman" w:hAnsi="Times New Roman" w:cs="Times New Roman"/>
                <w:b/>
                <w:i/>
              </w:rPr>
              <w:t>DLR description as per DLI Matrix</w:t>
            </w:r>
          </w:p>
        </w:tc>
        <w:tc>
          <w:tcPr>
            <w:tcW w:w="4023" w:type="pct"/>
            <w:shd w:val="clear" w:color="auto" w:fill="FDE9D9" w:themeFill="accent6" w:themeFillTint="33"/>
          </w:tcPr>
          <w:p w14:paraId="176B5F8A" w14:textId="13A3932E"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86223" w:rsidRPr="00F66630" w14:paraId="1345351C" w14:textId="77777777" w:rsidTr="00E15847">
        <w:tc>
          <w:tcPr>
            <w:tcW w:w="977" w:type="pct"/>
          </w:tcPr>
          <w:p w14:paraId="4BC33E86" w14:textId="217177D6" w:rsidR="00886223" w:rsidRPr="00F66630" w:rsidRDefault="007D562A" w:rsidP="00395C93">
            <w:pPr>
              <w:rPr>
                <w:rFonts w:ascii="Times New Roman" w:eastAsia="Times New Roman" w:hAnsi="Times New Roman" w:cs="Times New Roman"/>
                <w:b/>
                <w:color w:val="000000"/>
              </w:rPr>
            </w:pPr>
            <w:r w:rsidRPr="00F66630">
              <w:rPr>
                <w:rFonts w:ascii="Times New Roman" w:eastAsia="Times New Roman" w:hAnsi="Times New Roman" w:cs="Times New Roman"/>
                <w:b/>
                <w:color w:val="000000"/>
              </w:rPr>
              <w:t>DLI 3: Improved cash management and reduced revenue leakages through implementation of State TSA</w:t>
            </w:r>
          </w:p>
        </w:tc>
        <w:tc>
          <w:tcPr>
            <w:tcW w:w="4023" w:type="pct"/>
          </w:tcPr>
          <w:p w14:paraId="5674FEDD" w14:textId="1F283892" w:rsidR="00886223" w:rsidRPr="00F66630" w:rsidRDefault="00886223" w:rsidP="005450D5">
            <w:pPr>
              <w:spacing w:after="120"/>
              <w:rPr>
                <w:rFonts w:ascii="Times New Roman" w:hAnsi="Times New Roman" w:cs="Times New Roman"/>
              </w:rPr>
            </w:pPr>
            <w:r w:rsidRPr="00F66630">
              <w:rPr>
                <w:rFonts w:ascii="Times New Roman" w:hAnsi="Times New Roman" w:cs="Times New Roman"/>
              </w:rPr>
              <w:t xml:space="preserve">An established and functional state-level TSA requires all the following criteria to be met </w:t>
            </w:r>
            <w:r w:rsidR="009A205F" w:rsidRPr="00F66630">
              <w:rPr>
                <w:rFonts w:ascii="Times New Roman" w:hAnsi="Times New Roman" w:cs="Times New Roman"/>
              </w:rPr>
              <w:t xml:space="preserve">by the </w:t>
            </w:r>
            <w:proofErr w:type="gramStart"/>
            <w:r w:rsidR="009A205F" w:rsidRPr="00F66630">
              <w:rPr>
                <w:rFonts w:ascii="Times New Roman" w:hAnsi="Times New Roman" w:cs="Times New Roman"/>
              </w:rPr>
              <w:t>31st</w:t>
            </w:r>
            <w:proofErr w:type="gramEnd"/>
            <w:r w:rsidR="009A205F" w:rsidRPr="00F66630">
              <w:rPr>
                <w:rFonts w:ascii="Times New Roman" w:hAnsi="Times New Roman" w:cs="Times New Roman"/>
              </w:rPr>
              <w:t xml:space="preserve"> December of the year under assessment to count for that year</w:t>
            </w:r>
            <w:r w:rsidRPr="00F66630">
              <w:rPr>
                <w:rFonts w:ascii="Times New Roman" w:hAnsi="Times New Roman" w:cs="Times New Roman"/>
              </w:rPr>
              <w:t xml:space="preserve">: </w:t>
            </w:r>
          </w:p>
          <w:p w14:paraId="13E4618C" w14:textId="5DBB53A4" w:rsidR="00886223" w:rsidRPr="00F66630" w:rsidRDefault="00140691" w:rsidP="005450D5">
            <w:pPr>
              <w:spacing w:after="120"/>
              <w:rPr>
                <w:rFonts w:ascii="Times New Roman" w:hAnsi="Times New Roman" w:cs="Times New Roman"/>
              </w:rPr>
            </w:pPr>
            <w:r w:rsidRPr="00F66630">
              <w:rPr>
                <w:rFonts w:ascii="Times New Roman" w:hAnsi="Times New Roman" w:cs="Times New Roman"/>
              </w:rPr>
              <w:t xml:space="preserve">(i) </w:t>
            </w:r>
            <w:r w:rsidR="00886223" w:rsidRPr="00F66630">
              <w:rPr>
                <w:rFonts w:ascii="Times New Roman" w:hAnsi="Times New Roman" w:cs="Times New Roman"/>
              </w:rPr>
              <w:t>There is a formally approved cash management strategy in place</w:t>
            </w:r>
            <w:r w:rsidR="00E3222D" w:rsidRPr="00F66630">
              <w:rPr>
                <w:rFonts w:ascii="Times New Roman" w:hAnsi="Times New Roman" w:cs="Times New Roman"/>
              </w:rPr>
              <w:t xml:space="preserve"> and </w:t>
            </w:r>
            <w:r w:rsidR="00B35AD1" w:rsidRPr="00F66630">
              <w:rPr>
                <w:rFonts w:ascii="Times New Roman" w:hAnsi="Times New Roman" w:cs="Times New Roman"/>
              </w:rPr>
              <w:t>in implementation</w:t>
            </w:r>
            <w:r w:rsidR="00886223" w:rsidRPr="00F66630">
              <w:rPr>
                <w:rFonts w:ascii="Times New Roman" w:hAnsi="Times New Roman" w:cs="Times New Roman"/>
              </w:rPr>
              <w:t>.</w:t>
            </w:r>
            <w:r w:rsidR="00E15847" w:rsidRPr="00F66630">
              <w:rPr>
                <w:rFonts w:ascii="Times New Roman" w:hAnsi="Times New Roman" w:cs="Times New Roman"/>
              </w:rPr>
              <w:t xml:space="preserve"> The </w:t>
            </w:r>
            <w:r w:rsidR="00972B10" w:rsidRPr="00F66630">
              <w:rPr>
                <w:rFonts w:ascii="Times New Roman" w:hAnsi="Times New Roman" w:cs="Times New Roman"/>
              </w:rPr>
              <w:t>s</w:t>
            </w:r>
            <w:r w:rsidR="00E15847" w:rsidRPr="00F66630">
              <w:rPr>
                <w:rFonts w:ascii="Times New Roman" w:hAnsi="Times New Roman" w:cs="Times New Roman"/>
              </w:rPr>
              <w:t>trategy should cover the processes through which the State Ministry of Finance or Budgets</w:t>
            </w:r>
            <w:r w:rsidR="0065061A" w:rsidRPr="00F66630">
              <w:rPr>
                <w:rFonts w:ascii="Times New Roman" w:hAnsi="Times New Roman" w:cs="Times New Roman"/>
              </w:rPr>
              <w:t xml:space="preserve"> and</w:t>
            </w:r>
            <w:r w:rsidR="00972B10" w:rsidRPr="00F66630">
              <w:rPr>
                <w:rFonts w:ascii="Times New Roman" w:hAnsi="Times New Roman" w:cs="Times New Roman"/>
              </w:rPr>
              <w:t xml:space="preserve"> </w:t>
            </w:r>
            <w:r w:rsidR="00E15847" w:rsidRPr="00F66630">
              <w:rPr>
                <w:rFonts w:ascii="Times New Roman" w:hAnsi="Times New Roman" w:cs="Times New Roman"/>
              </w:rPr>
              <w:t>Economic Planning is able to forecast cash commitments and requirements and provide reliable information on the availability of funds.</w:t>
            </w:r>
            <w:r w:rsidR="00D37407" w:rsidRPr="00F66630">
              <w:rPr>
                <w:rFonts w:ascii="Times New Roman" w:hAnsi="Times New Roman" w:cs="Times New Roman"/>
              </w:rPr>
              <w:t xml:space="preserve"> </w:t>
            </w:r>
          </w:p>
          <w:p w14:paraId="0ECF3727" w14:textId="4AD82992" w:rsidR="00886223" w:rsidRPr="00F66630" w:rsidRDefault="00886223" w:rsidP="005450D5">
            <w:pPr>
              <w:spacing w:after="120"/>
              <w:rPr>
                <w:rFonts w:ascii="Times New Roman" w:eastAsia="Times New Roman" w:hAnsi="Times New Roman" w:cs="Times New Roman"/>
                <w:color w:val="000000"/>
              </w:rPr>
            </w:pPr>
            <w:r w:rsidRPr="00F66630">
              <w:rPr>
                <w:rFonts w:ascii="Times New Roman" w:eastAsia="Times New Roman" w:hAnsi="Times New Roman" w:cs="Times New Roman"/>
                <w:color w:val="000000"/>
              </w:rPr>
              <w:t>(</w:t>
            </w:r>
            <w:r w:rsidR="00140691" w:rsidRPr="00F66630">
              <w:rPr>
                <w:rFonts w:ascii="Times New Roman" w:eastAsia="Times New Roman" w:hAnsi="Times New Roman" w:cs="Times New Roman"/>
                <w:color w:val="000000"/>
              </w:rPr>
              <w:t xml:space="preserve">ii) </w:t>
            </w:r>
            <w:r w:rsidRPr="00F66630">
              <w:rPr>
                <w:rFonts w:ascii="Times New Roman" w:eastAsia="Times New Roman" w:hAnsi="Times New Roman" w:cs="Times New Roman"/>
                <w:color w:val="000000"/>
              </w:rPr>
              <w:t>The TSA has a system of cash management that allows for a central view of cash balances in bank accounts on a single electronic dashboard (based on the approved cash management strategy). The minimum percentage of state government finances that is managed by the state ministry of finance or the state accountant general’s office on the single electronic dashboard is defined for each of the Program years</w:t>
            </w:r>
            <w:r w:rsidR="008622F9" w:rsidRPr="00F66630">
              <w:rPr>
                <w:rFonts w:ascii="Times New Roman" w:eastAsia="Times New Roman" w:hAnsi="Times New Roman" w:cs="Times New Roman"/>
                <w:color w:val="000000"/>
              </w:rPr>
              <w:t xml:space="preserve"> in the DLI Matrix</w:t>
            </w:r>
            <w:r w:rsidRPr="00F66630">
              <w:rPr>
                <w:rFonts w:ascii="Times New Roman" w:eastAsia="Times New Roman" w:hAnsi="Times New Roman" w:cs="Times New Roman"/>
                <w:color w:val="000000"/>
              </w:rPr>
              <w:t xml:space="preserve">. </w:t>
            </w:r>
            <w:r w:rsidR="00104D3A" w:rsidRPr="00F66630">
              <w:rPr>
                <w:rFonts w:ascii="Times New Roman" w:hAnsi="Times New Roman" w:cs="Times New Roman"/>
              </w:rPr>
              <w:t>“State government finances” is defined as including all budgetary and non-budgetary funds managed by the state Government but excluding local governments and parastatals.</w:t>
            </w:r>
          </w:p>
          <w:p w14:paraId="41CA91B9" w14:textId="535BE9EF" w:rsidR="00886223" w:rsidRPr="00F66630" w:rsidRDefault="00886223" w:rsidP="005450D5">
            <w:pPr>
              <w:spacing w:after="120"/>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(iii) </w:t>
            </w:r>
            <w:r w:rsidRPr="00F66630">
              <w:rPr>
                <w:rFonts w:ascii="Times New Roman" w:hAnsi="Times New Roman" w:cs="Times New Roman"/>
              </w:rPr>
              <w:t>The TSA has one consolidated revenue treasury account for state revenues. Revenues collected by MDAs such as service fees no longer sit in individual MDA accounts at different commercial banks but are brought into the consolidated revenue account as part of the TSA.</w:t>
            </w:r>
            <w:r w:rsidR="00D2771A" w:rsidRPr="00F66630">
              <w:rPr>
                <w:rFonts w:ascii="Times New Roman" w:hAnsi="Times New Roman" w:cs="Times New Roman"/>
              </w:rPr>
              <w:t xml:space="preserve"> </w:t>
            </w:r>
          </w:p>
        </w:tc>
      </w:tr>
      <w:tr w:rsidR="00140691" w:rsidRPr="00F66630" w14:paraId="0C2CB111" w14:textId="77777777" w:rsidTr="00E15847">
        <w:tc>
          <w:tcPr>
            <w:tcW w:w="5000" w:type="pct"/>
            <w:gridSpan w:val="2"/>
            <w:shd w:val="clear" w:color="auto" w:fill="FDE9D9" w:themeFill="accent6" w:themeFillTint="33"/>
          </w:tcPr>
          <w:p w14:paraId="77B59547" w14:textId="7336C796" w:rsidR="00140691" w:rsidRPr="00F66630" w:rsidRDefault="00140691" w:rsidP="00F00DE9">
            <w:pPr>
              <w:rPr>
                <w:rFonts w:ascii="Times New Roman" w:hAnsi="Times New Roman" w:cs="Times New Roman"/>
                <w:b/>
                <w:i/>
              </w:rPr>
            </w:pPr>
            <w:r w:rsidRPr="00F66630">
              <w:rPr>
                <w:rFonts w:ascii="Times New Roman" w:hAnsi="Times New Roman" w:cs="Times New Roman"/>
                <w:b/>
                <w:i/>
              </w:rPr>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2A205A" w:rsidRPr="00F66630">
              <w:rPr>
                <w:rFonts w:ascii="Times New Roman" w:hAnsi="Times New Roman" w:cs="Times New Roman"/>
                <w:b/>
                <w:i/>
              </w:rPr>
              <w:t xml:space="preserve"> (2019 APA onwards)</w:t>
            </w:r>
          </w:p>
        </w:tc>
      </w:tr>
      <w:tr w:rsidR="00140691" w:rsidRPr="00F66630" w14:paraId="2D79035B" w14:textId="77777777" w:rsidTr="00E15847">
        <w:trPr>
          <w:trHeight w:val="305"/>
        </w:trPr>
        <w:tc>
          <w:tcPr>
            <w:tcW w:w="5000" w:type="pct"/>
            <w:gridSpan w:val="2"/>
          </w:tcPr>
          <w:p w14:paraId="76E8858F" w14:textId="08215CAE" w:rsidR="00140691" w:rsidRPr="00F66630" w:rsidRDefault="00140691" w:rsidP="00F00DE9">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0E0427D2" w14:textId="7B29479E" w:rsidR="00384A3C" w:rsidRPr="00F66630" w:rsidRDefault="00140691" w:rsidP="00E36965">
            <w:pPr>
              <w:pStyle w:val="ListParagraph"/>
              <w:numPr>
                <w:ilvl w:val="0"/>
                <w:numId w:val="21"/>
              </w:numPr>
              <w:rPr>
                <w:rFonts w:ascii="Times New Roman" w:hAnsi="Times New Roman" w:cs="Times New Roman"/>
                <w:b/>
              </w:rPr>
            </w:pPr>
            <w:r w:rsidRPr="00F66630">
              <w:rPr>
                <w:rFonts w:ascii="Times New Roman" w:hAnsi="Times New Roman" w:cs="Times New Roman"/>
                <w:b/>
              </w:rPr>
              <w:t xml:space="preserve">Office of the State Accountant General </w:t>
            </w:r>
            <w:r w:rsidRPr="00F66630">
              <w:rPr>
                <w:rFonts w:ascii="Times New Roman" w:eastAsia="Times New Roman" w:hAnsi="Times New Roman" w:cs="Times New Roman"/>
                <w:b/>
              </w:rPr>
              <w:t>will produce</w:t>
            </w:r>
            <w:r w:rsidR="0023349A" w:rsidRPr="00F66630">
              <w:rPr>
                <w:rFonts w:ascii="Times New Roman" w:eastAsia="Times New Roman" w:hAnsi="Times New Roman" w:cs="Times New Roman"/>
                <w:b/>
              </w:rPr>
              <w:t>:</w:t>
            </w:r>
          </w:p>
          <w:p w14:paraId="5AD3E2B1" w14:textId="4D7EFAB2" w:rsidR="00384A3C" w:rsidRPr="00F66630" w:rsidRDefault="00384A3C" w:rsidP="00E36965">
            <w:pPr>
              <w:pStyle w:val="ListParagraph"/>
              <w:numPr>
                <w:ilvl w:val="1"/>
                <w:numId w:val="21"/>
              </w:numPr>
              <w:rPr>
                <w:rFonts w:ascii="Times New Roman" w:hAnsi="Times New Roman" w:cs="Times New Roman"/>
                <w:b/>
              </w:rPr>
            </w:pPr>
            <w:r w:rsidRPr="00F66630">
              <w:rPr>
                <w:rFonts w:ascii="Times New Roman" w:hAnsi="Times New Roman" w:cs="Times New Roman"/>
                <w:b/>
              </w:rPr>
              <w:t xml:space="preserve">A </w:t>
            </w:r>
            <w:r w:rsidR="00140691" w:rsidRPr="00F66630">
              <w:rPr>
                <w:rFonts w:ascii="Times New Roman" w:eastAsia="Times New Roman" w:hAnsi="Times New Roman" w:cs="Times New Roman"/>
                <w:b/>
              </w:rPr>
              <w:t xml:space="preserve">state cash survey report </w:t>
            </w:r>
            <w:r w:rsidR="00140691" w:rsidRPr="00F66630">
              <w:rPr>
                <w:rFonts w:ascii="Times New Roman" w:eastAsia="Times New Roman" w:hAnsi="Times New Roman" w:cs="Times New Roman"/>
              </w:rPr>
              <w:t xml:space="preserve">based on an inventory of state’s cash balances in all bank accounts </w:t>
            </w:r>
            <w:r w:rsidR="005514FE" w:rsidRPr="00F66630">
              <w:rPr>
                <w:rFonts w:ascii="Times New Roman" w:eastAsia="Times New Roman" w:hAnsi="Times New Roman" w:cs="Times New Roman"/>
              </w:rPr>
              <w:t xml:space="preserve">at year-end </w:t>
            </w:r>
            <w:r w:rsidR="00140691" w:rsidRPr="00F66630">
              <w:rPr>
                <w:rFonts w:ascii="Times New Roman" w:eastAsia="Times New Roman" w:hAnsi="Times New Roman" w:cs="Times New Roman"/>
              </w:rPr>
              <w:t>to confirm the gross state government finances and how much of it is part of the TSA.</w:t>
            </w:r>
            <w:r w:rsidR="00140691" w:rsidRPr="00F66630">
              <w:rPr>
                <w:rFonts w:ascii="Times New Roman" w:eastAsia="Times New Roman" w:hAnsi="Times New Roman" w:cs="Times New Roman"/>
                <w:b/>
              </w:rPr>
              <w:t xml:space="preserve"> </w:t>
            </w:r>
          </w:p>
          <w:p w14:paraId="40970BEB" w14:textId="64637D2F" w:rsidR="005514FE" w:rsidRPr="00F66630" w:rsidRDefault="005514FE" w:rsidP="00E36965">
            <w:pPr>
              <w:pStyle w:val="ListParagraph"/>
              <w:numPr>
                <w:ilvl w:val="1"/>
                <w:numId w:val="21"/>
              </w:numPr>
              <w:rPr>
                <w:rFonts w:ascii="Times New Roman" w:hAnsi="Times New Roman" w:cs="Times New Roman"/>
                <w:b/>
              </w:rPr>
            </w:pPr>
            <w:r w:rsidRPr="00F66630">
              <w:rPr>
                <w:rFonts w:ascii="Times New Roman" w:hAnsi="Times New Roman" w:cs="Times New Roman"/>
                <w:b/>
              </w:rPr>
              <w:t>Year-end cash flow statement (audited financial statements for the year)</w:t>
            </w:r>
          </w:p>
          <w:p w14:paraId="3FEE0DA4" w14:textId="3FD1376B" w:rsidR="00140691" w:rsidRPr="00F66630" w:rsidRDefault="00E15847" w:rsidP="00361823">
            <w:pPr>
              <w:ind w:left="360"/>
              <w:rPr>
                <w:rFonts w:ascii="Times New Roman" w:hAnsi="Times New Roman" w:cs="Times New Roman"/>
                <w:b/>
              </w:rPr>
            </w:pPr>
            <w:r w:rsidRPr="00F66630">
              <w:rPr>
                <w:rFonts w:ascii="Times New Roman" w:eastAsia="Times New Roman" w:hAnsi="Times New Roman" w:cs="Times New Roman"/>
              </w:rPr>
              <w:t xml:space="preserve">The </w:t>
            </w:r>
            <w:proofErr w:type="gramStart"/>
            <w:r w:rsidRPr="00F66630">
              <w:rPr>
                <w:rFonts w:ascii="Times New Roman" w:eastAsia="Times New Roman" w:hAnsi="Times New Roman" w:cs="Times New Roman"/>
              </w:rPr>
              <w:t>Accountant</w:t>
            </w:r>
            <w:proofErr w:type="gramEnd"/>
            <w:r w:rsidRPr="00F66630">
              <w:rPr>
                <w:rFonts w:ascii="Times New Roman" w:eastAsia="Times New Roman" w:hAnsi="Times New Roman" w:cs="Times New Roman"/>
              </w:rPr>
              <w:t>-General will also provide additional information on request, to demonstrate the functionality and current operation of the TSA</w:t>
            </w:r>
            <w:r w:rsidR="00D17711" w:rsidRPr="00F66630">
              <w:rPr>
                <w:rFonts w:ascii="Times New Roman" w:eastAsia="Times New Roman" w:hAnsi="Times New Roman" w:cs="Times New Roman"/>
              </w:rPr>
              <w:t>.</w:t>
            </w:r>
          </w:p>
          <w:p w14:paraId="2F423BA4" w14:textId="4C23B3B8" w:rsidR="00140691" w:rsidRPr="00F66630" w:rsidRDefault="00E15847" w:rsidP="00E36965">
            <w:pPr>
              <w:pStyle w:val="ListParagraph"/>
              <w:numPr>
                <w:ilvl w:val="0"/>
                <w:numId w:val="21"/>
              </w:numPr>
              <w:rPr>
                <w:rFonts w:ascii="Times New Roman" w:hAnsi="Times New Roman" w:cs="Times New Roman"/>
                <w:b/>
              </w:rPr>
            </w:pPr>
            <w:r w:rsidRPr="00F66630">
              <w:rPr>
                <w:rFonts w:ascii="Times New Roman" w:hAnsi="Times New Roman" w:cs="Times New Roman"/>
                <w:b/>
              </w:rPr>
              <w:t xml:space="preserve">Ministry of Finance (or Budgets and Economic Planning) – </w:t>
            </w:r>
            <w:r w:rsidRPr="00F66630">
              <w:rPr>
                <w:rFonts w:ascii="Times New Roman" w:hAnsi="Times New Roman" w:cs="Times New Roman"/>
              </w:rPr>
              <w:t>to provide a c</w:t>
            </w:r>
            <w:r w:rsidR="00140691" w:rsidRPr="00F66630">
              <w:rPr>
                <w:rFonts w:ascii="Times New Roman" w:hAnsi="Times New Roman" w:cs="Times New Roman"/>
              </w:rPr>
              <w:t xml:space="preserve">opy of </w:t>
            </w:r>
            <w:r w:rsidRPr="00F66630">
              <w:rPr>
                <w:rFonts w:ascii="Times New Roman" w:hAnsi="Times New Roman" w:cs="Times New Roman"/>
              </w:rPr>
              <w:t xml:space="preserve">the </w:t>
            </w:r>
            <w:r w:rsidR="00140691" w:rsidRPr="00F66630">
              <w:rPr>
                <w:rFonts w:ascii="Times New Roman" w:hAnsi="Times New Roman" w:cs="Times New Roman"/>
              </w:rPr>
              <w:t xml:space="preserve">approved cash management strategy </w:t>
            </w:r>
            <w:r w:rsidRPr="00F66630">
              <w:rPr>
                <w:rFonts w:ascii="Times New Roman" w:hAnsi="Times New Roman" w:cs="Times New Roman"/>
              </w:rPr>
              <w:t>for the State</w:t>
            </w:r>
            <w:r w:rsidRPr="00F66630">
              <w:rPr>
                <w:rFonts w:ascii="Times New Roman" w:hAnsi="Times New Roman" w:cs="Times New Roman"/>
                <w:b/>
              </w:rPr>
              <w:t>.</w:t>
            </w:r>
          </w:p>
          <w:p w14:paraId="3D6705E3" w14:textId="34B4BE63" w:rsidR="00384A3C" w:rsidRPr="00F66630" w:rsidRDefault="00384A3C" w:rsidP="00E36965">
            <w:pPr>
              <w:pStyle w:val="ListParagraph"/>
              <w:numPr>
                <w:ilvl w:val="0"/>
                <w:numId w:val="21"/>
              </w:numPr>
              <w:rPr>
                <w:rFonts w:ascii="Times New Roman" w:hAnsi="Times New Roman" w:cs="Times New Roman"/>
                <w:b/>
              </w:rPr>
            </w:pPr>
            <w:r w:rsidRPr="00F66630">
              <w:rPr>
                <w:rFonts w:ascii="Times New Roman" w:hAnsi="Times New Roman" w:cs="Times New Roman"/>
                <w:b/>
              </w:rPr>
              <w:t xml:space="preserve">Office of the State Auditor-General – </w:t>
            </w:r>
            <w:r w:rsidRPr="00F66630">
              <w:rPr>
                <w:rFonts w:ascii="Times New Roman" w:hAnsi="Times New Roman" w:cs="Times New Roman"/>
              </w:rPr>
              <w:t xml:space="preserve">to submit the Annual audit report and audited financial statements for each year under assessment </w:t>
            </w:r>
          </w:p>
          <w:p w14:paraId="1509A12D" w14:textId="57F0F802" w:rsidR="00140691" w:rsidRPr="00F66630" w:rsidRDefault="00140691" w:rsidP="00972B10">
            <w:pPr>
              <w:pStyle w:val="ListParagraph"/>
              <w:ind w:left="360"/>
              <w:rPr>
                <w:rFonts w:ascii="Times New Roman" w:hAnsi="Times New Roman" w:cs="Times New Roman"/>
                <w:b/>
              </w:rPr>
            </w:pPr>
          </w:p>
        </w:tc>
      </w:tr>
      <w:tr w:rsidR="00886223" w:rsidRPr="00F66630" w14:paraId="4214C991" w14:textId="77777777" w:rsidTr="00E15847">
        <w:trPr>
          <w:trHeight w:val="305"/>
        </w:trPr>
        <w:tc>
          <w:tcPr>
            <w:tcW w:w="5000" w:type="pct"/>
            <w:gridSpan w:val="2"/>
          </w:tcPr>
          <w:p w14:paraId="610D1559" w14:textId="3702254F" w:rsidR="00972B10" w:rsidRPr="00F66630" w:rsidRDefault="00140691" w:rsidP="003032FE">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w:t>
            </w:r>
            <w:r w:rsidR="0088431C" w:rsidRPr="00F66630">
              <w:rPr>
                <w:rFonts w:ascii="Times New Roman" w:hAnsi="Times New Roman" w:cs="Times New Roman"/>
                <w:b/>
                <w:i/>
                <w:sz w:val="22"/>
                <w:szCs w:val="22"/>
                <w:u w:val="single"/>
              </w:rPr>
              <w:t>s</w:t>
            </w:r>
          </w:p>
          <w:p w14:paraId="685E1B18" w14:textId="77777777" w:rsidR="00D2771A" w:rsidRPr="00F66630" w:rsidRDefault="00D2771A" w:rsidP="003032FE">
            <w:pPr>
              <w:pStyle w:val="CommentText"/>
              <w:rPr>
                <w:rFonts w:ascii="Times New Roman" w:hAnsi="Times New Roman" w:cs="Times New Roman"/>
                <w:b/>
                <w:i/>
                <w:sz w:val="22"/>
                <w:szCs w:val="22"/>
                <w:u w:val="single"/>
              </w:rPr>
            </w:pPr>
          </w:p>
          <w:p w14:paraId="6550255B" w14:textId="67EBEDC2" w:rsidR="00886223" w:rsidRPr="00F66630" w:rsidRDefault="00886223" w:rsidP="00BF0B1F">
            <w:pPr>
              <w:pStyle w:val="CommentText"/>
              <w:spacing w:after="120"/>
              <w:rPr>
                <w:rFonts w:ascii="Times New Roman" w:hAnsi="Times New Roman" w:cs="Times New Roman"/>
                <w:b/>
                <w:i/>
                <w:sz w:val="22"/>
                <w:szCs w:val="22"/>
                <w:u w:val="single"/>
              </w:rPr>
            </w:pPr>
            <w:r w:rsidRPr="00F66630">
              <w:rPr>
                <w:rFonts w:ascii="Times New Roman" w:hAnsi="Times New Roman" w:cs="Times New Roman"/>
                <w:sz w:val="22"/>
                <w:szCs w:val="22"/>
              </w:rPr>
              <w:t>The I</w:t>
            </w:r>
            <w:r w:rsidR="00140691" w:rsidRPr="00F66630">
              <w:rPr>
                <w:rFonts w:ascii="Times New Roman" w:hAnsi="Times New Roman" w:cs="Times New Roman"/>
                <w:sz w:val="22"/>
                <w:szCs w:val="22"/>
              </w:rPr>
              <w:t>VA will carry out the following:</w:t>
            </w:r>
          </w:p>
          <w:p w14:paraId="7289AF16" w14:textId="526EEF52" w:rsidR="00886223" w:rsidRPr="00F66630" w:rsidRDefault="00886223" w:rsidP="00BF0B1F">
            <w:pPr>
              <w:pStyle w:val="ListParagraph"/>
              <w:numPr>
                <w:ilvl w:val="0"/>
                <w:numId w:val="14"/>
              </w:numPr>
              <w:spacing w:after="120"/>
              <w:contextualSpacing w:val="0"/>
              <w:rPr>
                <w:rFonts w:ascii="Times New Roman" w:hAnsi="Times New Roman" w:cs="Times New Roman"/>
              </w:rPr>
            </w:pPr>
            <w:r w:rsidRPr="00F66630">
              <w:rPr>
                <w:rFonts w:ascii="Times New Roman" w:hAnsi="Times New Roman" w:cs="Times New Roman"/>
              </w:rPr>
              <w:t>Obtain information from each State</w:t>
            </w:r>
            <w:r w:rsidR="00EF3033" w:rsidRPr="00F66630">
              <w:rPr>
                <w:rFonts w:ascii="Times New Roman" w:hAnsi="Times New Roman" w:cs="Times New Roman"/>
              </w:rPr>
              <w:t>,</w:t>
            </w:r>
            <w:r w:rsidRPr="00F66630">
              <w:rPr>
                <w:rFonts w:ascii="Times New Roman" w:hAnsi="Times New Roman" w:cs="Times New Roman"/>
              </w:rPr>
              <w:t xml:space="preserve"> on their implementation and usage of a Treasury Single Account (TSA). Evidence should be obtained to verify that the TSA is established and functional at each year end. The evidenc</w:t>
            </w:r>
            <w:r w:rsidR="008622F9" w:rsidRPr="00F66630">
              <w:rPr>
                <w:rFonts w:ascii="Times New Roman" w:hAnsi="Times New Roman" w:cs="Times New Roman"/>
              </w:rPr>
              <w:t>e review includes the following:</w:t>
            </w:r>
          </w:p>
          <w:p w14:paraId="0D545676" w14:textId="77777777" w:rsidR="0065061A" w:rsidRPr="00F66630" w:rsidRDefault="00EF624E" w:rsidP="00BF0B1F">
            <w:pPr>
              <w:pStyle w:val="ListParagraph"/>
              <w:numPr>
                <w:ilvl w:val="1"/>
                <w:numId w:val="14"/>
              </w:numPr>
              <w:spacing w:after="120"/>
              <w:contextualSpacing w:val="0"/>
              <w:rPr>
                <w:rFonts w:ascii="Times New Roman" w:hAnsi="Times New Roman" w:cs="Times New Roman"/>
              </w:rPr>
            </w:pPr>
            <w:r w:rsidRPr="00F66630">
              <w:rPr>
                <w:rFonts w:ascii="Times New Roman" w:hAnsi="Times New Roman" w:cs="Times New Roman"/>
              </w:rPr>
              <w:lastRenderedPageBreak/>
              <w:t>Obtain and review a copy of the State’s formally approved cash management strategy (and obtain evidence of approval).</w:t>
            </w:r>
          </w:p>
          <w:p w14:paraId="6EA8FDE4" w14:textId="1F56EA11" w:rsidR="00EF624E" w:rsidRPr="00F66630" w:rsidRDefault="0065061A" w:rsidP="00BF0B1F">
            <w:pPr>
              <w:pStyle w:val="ListParagraph"/>
              <w:numPr>
                <w:ilvl w:val="1"/>
                <w:numId w:val="14"/>
              </w:numPr>
              <w:spacing w:after="120"/>
              <w:contextualSpacing w:val="0"/>
              <w:rPr>
                <w:rFonts w:ascii="Times New Roman" w:hAnsi="Times New Roman" w:cs="Times New Roman"/>
              </w:rPr>
            </w:pPr>
            <w:r w:rsidRPr="00F66630">
              <w:rPr>
                <w:rFonts w:ascii="Times New Roman" w:hAnsi="Times New Roman" w:cs="Times New Roman"/>
              </w:rPr>
              <w:t>Obtain evidence of implementation of processes described in the cash management strategy to forecast cash commitments and requirements and provide reliable information on the availability of funds</w:t>
            </w:r>
            <w:r w:rsidR="002A205A" w:rsidRPr="00F66630">
              <w:rPr>
                <w:rFonts w:ascii="Times New Roman" w:hAnsi="Times New Roman" w:cs="Times New Roman"/>
              </w:rPr>
              <w:t xml:space="preserve"> by </w:t>
            </w:r>
            <w:r w:rsidR="00DC4356" w:rsidRPr="00F66630">
              <w:rPr>
                <w:rFonts w:ascii="Times New Roman" w:hAnsi="Times New Roman" w:cs="Times New Roman"/>
              </w:rPr>
              <w:t>checking</w:t>
            </w:r>
            <w:r w:rsidR="002A205A" w:rsidRPr="00F66630">
              <w:rPr>
                <w:rFonts w:ascii="Times New Roman" w:hAnsi="Times New Roman" w:cs="Times New Roman"/>
              </w:rPr>
              <w:t xml:space="preserve"> </w:t>
            </w:r>
            <w:r w:rsidR="00082B64" w:rsidRPr="00F66630">
              <w:rPr>
                <w:rFonts w:ascii="Times New Roman" w:hAnsi="Times New Roman" w:cs="Times New Roman"/>
              </w:rPr>
              <w:t xml:space="preserve">the existence of cash </w:t>
            </w:r>
            <w:r w:rsidR="00585859" w:rsidRPr="00F66630">
              <w:rPr>
                <w:rFonts w:ascii="Times New Roman" w:hAnsi="Times New Roman" w:cs="Times New Roman"/>
              </w:rPr>
              <w:t xml:space="preserve">commitments and requirements </w:t>
            </w:r>
            <w:r w:rsidR="00082B64" w:rsidRPr="00F66630">
              <w:rPr>
                <w:rFonts w:ascii="Times New Roman" w:hAnsi="Times New Roman" w:cs="Times New Roman"/>
              </w:rPr>
              <w:t>forecasts at the interval</w:t>
            </w:r>
            <w:r w:rsidR="002A205A" w:rsidRPr="00F66630">
              <w:rPr>
                <w:rFonts w:ascii="Times New Roman" w:hAnsi="Times New Roman" w:cs="Times New Roman"/>
              </w:rPr>
              <w:t>s</w:t>
            </w:r>
            <w:r w:rsidR="00082B64" w:rsidRPr="00F66630">
              <w:rPr>
                <w:rFonts w:ascii="Times New Roman" w:hAnsi="Times New Roman" w:cs="Times New Roman"/>
              </w:rPr>
              <w:t xml:space="preserve"> stated in the cash </w:t>
            </w:r>
            <w:r w:rsidR="00585859" w:rsidRPr="00F66630">
              <w:rPr>
                <w:rFonts w:ascii="Times New Roman" w:hAnsi="Times New Roman" w:cs="Times New Roman"/>
              </w:rPr>
              <w:t xml:space="preserve">management </w:t>
            </w:r>
            <w:r w:rsidR="00082B64" w:rsidRPr="00F66630">
              <w:rPr>
                <w:rFonts w:ascii="Times New Roman" w:hAnsi="Times New Roman" w:cs="Times New Roman"/>
              </w:rPr>
              <w:t>strategy (monthly, quarterly</w:t>
            </w:r>
            <w:r w:rsidR="00FD5CE0" w:rsidRPr="00F66630">
              <w:rPr>
                <w:rFonts w:ascii="Times New Roman" w:hAnsi="Times New Roman" w:cs="Times New Roman"/>
              </w:rPr>
              <w:t xml:space="preserve"> </w:t>
            </w:r>
            <w:r w:rsidR="0023349A" w:rsidRPr="00F66630">
              <w:rPr>
                <w:rFonts w:ascii="Times New Roman" w:hAnsi="Times New Roman" w:cs="Times New Roman"/>
              </w:rPr>
              <w:t>etc.</w:t>
            </w:r>
            <w:r w:rsidR="00082B64" w:rsidRPr="00F66630">
              <w:rPr>
                <w:rFonts w:ascii="Times New Roman" w:hAnsi="Times New Roman" w:cs="Times New Roman"/>
              </w:rPr>
              <w:t>)</w:t>
            </w:r>
            <w:r w:rsidRPr="00F66630">
              <w:rPr>
                <w:rFonts w:ascii="Times New Roman" w:hAnsi="Times New Roman" w:cs="Times New Roman"/>
              </w:rPr>
              <w:t>.</w:t>
            </w:r>
            <w:r w:rsidR="00AD7B77" w:rsidRPr="00F66630">
              <w:rPr>
                <w:rFonts w:ascii="Times New Roman" w:hAnsi="Times New Roman" w:cs="Times New Roman"/>
              </w:rPr>
              <w:t xml:space="preserve"> </w:t>
            </w:r>
          </w:p>
          <w:p w14:paraId="0E934E74" w14:textId="7DB9D1FF" w:rsidR="00886223" w:rsidRPr="00F66630" w:rsidRDefault="00EF624E" w:rsidP="00BF0B1F">
            <w:pPr>
              <w:pStyle w:val="ListParagraph"/>
              <w:numPr>
                <w:ilvl w:val="1"/>
                <w:numId w:val="14"/>
              </w:numPr>
              <w:spacing w:after="120"/>
              <w:contextualSpacing w:val="0"/>
              <w:rPr>
                <w:rFonts w:ascii="Times New Roman" w:hAnsi="Times New Roman" w:cs="Times New Roman"/>
              </w:rPr>
            </w:pPr>
            <w:r w:rsidRPr="00F66630" w:rsidDel="00EF624E">
              <w:rPr>
                <w:rFonts w:ascii="Times New Roman" w:hAnsi="Times New Roman" w:cs="Times New Roman"/>
              </w:rPr>
              <w:t xml:space="preserve"> </w:t>
            </w:r>
            <w:r w:rsidR="00886223" w:rsidRPr="00F66630">
              <w:rPr>
                <w:rFonts w:ascii="Times New Roman" w:hAnsi="Times New Roman" w:cs="Times New Roman"/>
              </w:rPr>
              <w:t xml:space="preserve">Confirm that the TSA includes a central view of cash balances in bank accounts on a single electronic dashboard. Physically observe and verify the view of cash balances during the field visit to the </w:t>
            </w:r>
            <w:r w:rsidR="003B101E" w:rsidRPr="00F66630">
              <w:rPr>
                <w:rFonts w:ascii="Times New Roman" w:hAnsi="Times New Roman" w:cs="Times New Roman"/>
              </w:rPr>
              <w:t>State and</w:t>
            </w:r>
            <w:r w:rsidR="00886223" w:rsidRPr="00F66630">
              <w:rPr>
                <w:rFonts w:ascii="Times New Roman" w:hAnsi="Times New Roman" w:cs="Times New Roman"/>
              </w:rPr>
              <w:t xml:space="preserve"> retain screenshots as evidence</w:t>
            </w:r>
            <w:r w:rsidR="008622F9" w:rsidRPr="00F66630">
              <w:rPr>
                <w:rFonts w:ascii="Times New Roman" w:hAnsi="Times New Roman" w:cs="Times New Roman"/>
              </w:rPr>
              <w:t>.</w:t>
            </w:r>
          </w:p>
          <w:p w14:paraId="51173B07" w14:textId="7AC832B9" w:rsidR="00886223" w:rsidRPr="00F66630" w:rsidRDefault="00886223" w:rsidP="00BF0B1F">
            <w:pPr>
              <w:pStyle w:val="ListParagraph"/>
              <w:numPr>
                <w:ilvl w:val="1"/>
                <w:numId w:val="14"/>
              </w:numPr>
              <w:spacing w:after="120"/>
              <w:contextualSpacing w:val="0"/>
              <w:rPr>
                <w:rFonts w:ascii="Times New Roman" w:hAnsi="Times New Roman" w:cs="Times New Roman"/>
              </w:rPr>
            </w:pPr>
            <w:r w:rsidRPr="00F66630">
              <w:rPr>
                <w:rFonts w:ascii="Times New Roman" w:hAnsi="Times New Roman" w:cs="Times New Roman"/>
              </w:rPr>
              <w:t>Obtain and review the State’s cash survey reports for the year-end covered by the APA.</w:t>
            </w:r>
          </w:p>
          <w:p w14:paraId="4305E194" w14:textId="7ECC4496" w:rsidR="005E625A" w:rsidRPr="00F66630" w:rsidRDefault="005E625A" w:rsidP="00BF0B1F">
            <w:pPr>
              <w:pStyle w:val="ListParagraph"/>
              <w:numPr>
                <w:ilvl w:val="1"/>
                <w:numId w:val="14"/>
              </w:numPr>
              <w:spacing w:after="120"/>
              <w:contextualSpacing w:val="0"/>
              <w:rPr>
                <w:rFonts w:ascii="Times New Roman" w:hAnsi="Times New Roman" w:cs="Times New Roman"/>
              </w:rPr>
            </w:pPr>
            <w:r w:rsidRPr="00F66630">
              <w:rPr>
                <w:rFonts w:ascii="Times New Roman" w:hAnsi="Times New Roman" w:cs="Times New Roman"/>
              </w:rPr>
              <w:t xml:space="preserve">For </w:t>
            </w:r>
            <w:r w:rsidR="0019359F" w:rsidRPr="00F66630">
              <w:rPr>
                <w:rFonts w:ascii="Times New Roman" w:hAnsi="Times New Roman" w:cs="Times New Roman"/>
              </w:rPr>
              <w:t>all</w:t>
            </w:r>
            <w:r w:rsidR="006D3CEB" w:rsidRPr="00F66630">
              <w:rPr>
                <w:rFonts w:ascii="Times New Roman" w:hAnsi="Times New Roman" w:cs="Times New Roman"/>
              </w:rPr>
              <w:t xml:space="preserve"> the</w:t>
            </w:r>
            <w:r w:rsidR="0019359F" w:rsidRPr="00F66630">
              <w:rPr>
                <w:rFonts w:ascii="Times New Roman" w:hAnsi="Times New Roman" w:cs="Times New Roman"/>
              </w:rPr>
              <w:t xml:space="preserve"> APAs</w:t>
            </w:r>
            <w:r w:rsidRPr="00F66630">
              <w:rPr>
                <w:rFonts w:ascii="Times New Roman" w:hAnsi="Times New Roman" w:cs="Times New Roman"/>
              </w:rPr>
              <w:t xml:space="preserve">: Obtain the audited financial statements from the Auditor-General for the State for </w:t>
            </w:r>
            <w:r w:rsidR="000B3C45" w:rsidRPr="00F66630">
              <w:rPr>
                <w:rFonts w:ascii="Times New Roman" w:hAnsi="Times New Roman" w:cs="Times New Roman"/>
              </w:rPr>
              <w:t xml:space="preserve">each </w:t>
            </w:r>
            <w:r w:rsidRPr="00F66630">
              <w:rPr>
                <w:rFonts w:ascii="Times New Roman" w:hAnsi="Times New Roman" w:cs="Times New Roman"/>
              </w:rPr>
              <w:t>year.</w:t>
            </w:r>
          </w:p>
          <w:p w14:paraId="365AE2D6" w14:textId="04DFF5C5" w:rsidR="00886223" w:rsidRPr="00F66630" w:rsidRDefault="00886223" w:rsidP="00BF0B1F">
            <w:pPr>
              <w:pStyle w:val="ListParagraph"/>
              <w:numPr>
                <w:ilvl w:val="1"/>
                <w:numId w:val="14"/>
              </w:numPr>
              <w:spacing w:after="120"/>
              <w:contextualSpacing w:val="0"/>
              <w:rPr>
                <w:rFonts w:ascii="Times New Roman" w:hAnsi="Times New Roman" w:cs="Times New Roman"/>
              </w:rPr>
            </w:pPr>
            <w:r w:rsidRPr="00F66630">
              <w:rPr>
                <w:rFonts w:ascii="Times New Roman" w:hAnsi="Times New Roman" w:cs="Times New Roman"/>
              </w:rPr>
              <w:t xml:space="preserve">Confirm whether by each year end, the TSA meets the minimum percentage of state government finances to be managed by the state ministry of finance or the state accountant general’s office on the single electronic dashboard for each of the Program years as follows (2019 – 60%, 2020 – 70%, 2021 – 80%). The applicable percentage should be calculated based on the total cash inflows and cash outflows recorded at the year-end (31 December) on the TSA system compared with the total cash inflows and outflows </w:t>
            </w:r>
            <w:r w:rsidR="005E625A" w:rsidRPr="00F66630">
              <w:rPr>
                <w:rFonts w:ascii="Times New Roman" w:hAnsi="Times New Roman" w:cs="Times New Roman"/>
              </w:rPr>
              <w:t>for the year (stated within the audited financial statements for the APA</w:t>
            </w:r>
            <w:r w:rsidR="006A730E" w:rsidRPr="00F66630">
              <w:rPr>
                <w:rFonts w:ascii="Times New Roman" w:hAnsi="Times New Roman" w:cs="Times New Roman"/>
              </w:rPr>
              <w:t>s</w:t>
            </w:r>
            <w:r w:rsidR="005E625A" w:rsidRPr="00F66630">
              <w:rPr>
                <w:rFonts w:ascii="Times New Roman" w:hAnsi="Times New Roman" w:cs="Times New Roman"/>
              </w:rPr>
              <w:t>)</w:t>
            </w:r>
            <w:r w:rsidRPr="00F66630">
              <w:rPr>
                <w:rFonts w:ascii="Times New Roman" w:hAnsi="Times New Roman" w:cs="Times New Roman"/>
              </w:rPr>
              <w:t>.</w:t>
            </w:r>
          </w:p>
          <w:p w14:paraId="38020F61" w14:textId="5E4BB374" w:rsidR="005514FE" w:rsidRPr="00F66630" w:rsidRDefault="00886223" w:rsidP="00BF0B1F">
            <w:pPr>
              <w:pStyle w:val="ListParagraph"/>
              <w:numPr>
                <w:ilvl w:val="0"/>
                <w:numId w:val="14"/>
              </w:numPr>
              <w:spacing w:after="120"/>
              <w:contextualSpacing w:val="0"/>
              <w:rPr>
                <w:rFonts w:ascii="Times New Roman" w:hAnsi="Times New Roman" w:cs="Times New Roman"/>
              </w:rPr>
            </w:pPr>
            <w:r w:rsidRPr="00F66630">
              <w:rPr>
                <w:rFonts w:ascii="Times New Roman" w:hAnsi="Times New Roman" w:cs="Times New Roman"/>
              </w:rPr>
              <w:t>Obtain evidence from the State to confirm that the State TSA has one consolidated revenue treasury account or account group for state revenues. Also confirm that revenues collected by MDAs such as service fees are brought into the consolidated revenue account as part of the TSA. This will require interviews and evidence gathering with selected MDAs, the TSA operator/bank and selected fee payers in each State.</w:t>
            </w:r>
          </w:p>
        </w:tc>
      </w:tr>
    </w:tbl>
    <w:p w14:paraId="41A8219C" w14:textId="77777777" w:rsidR="006544DE" w:rsidRPr="00F66630" w:rsidRDefault="006544DE">
      <w:r w:rsidRPr="00F66630">
        <w:rPr>
          <w:b/>
          <w:bCs/>
        </w:rPr>
        <w:lastRenderedPageBreak/>
        <w:br w:type="page"/>
      </w:r>
    </w:p>
    <w:tbl>
      <w:tblPr>
        <w:tblStyle w:val="TableGrid"/>
        <w:tblW w:w="5377" w:type="pct"/>
        <w:tblLook w:val="04A0" w:firstRow="1" w:lastRow="0" w:firstColumn="1" w:lastColumn="0" w:noHBand="0" w:noVBand="1"/>
      </w:tblPr>
      <w:tblGrid>
        <w:gridCol w:w="2721"/>
        <w:gridCol w:w="423"/>
        <w:gridCol w:w="10620"/>
        <w:gridCol w:w="162"/>
      </w:tblGrid>
      <w:tr w:rsidR="00886223" w:rsidRPr="00F66630" w14:paraId="7071839D" w14:textId="77777777" w:rsidTr="00200DFA">
        <w:trPr>
          <w:trHeight w:val="440"/>
        </w:trPr>
        <w:tc>
          <w:tcPr>
            <w:tcW w:w="5000" w:type="pct"/>
            <w:gridSpan w:val="4"/>
            <w:shd w:val="clear" w:color="auto" w:fill="EAF1DD" w:themeFill="accent3" w:themeFillTint="33"/>
          </w:tcPr>
          <w:p w14:paraId="760672DD" w14:textId="5AEFEEC7" w:rsidR="00B301D1" w:rsidRPr="00F66630" w:rsidRDefault="00B301D1" w:rsidP="00213F3A">
            <w:pPr>
              <w:pStyle w:val="Heading3"/>
              <w:numPr>
                <w:ilvl w:val="0"/>
                <w:numId w:val="0"/>
              </w:numPr>
              <w:outlineLvl w:val="2"/>
              <w:rPr>
                <w:rFonts w:cs="Times New Roman"/>
                <w:b w:val="0"/>
                <w:bCs w:val="0"/>
                <w:color w:val="000000"/>
              </w:rPr>
            </w:pPr>
            <w:r w:rsidRPr="00F66630">
              <w:lastRenderedPageBreak/>
              <w:br w:type="page"/>
            </w:r>
            <w:r w:rsidR="00BB1303" w:rsidRPr="00F66630">
              <w:rPr>
                <w:sz w:val="22"/>
                <w:szCs w:val="22"/>
              </w:rPr>
              <w:br w:type="page"/>
            </w:r>
            <w:bookmarkStart w:id="24" w:name="_Toc107345850"/>
            <w:r w:rsidR="00BB1303" w:rsidRPr="00F66630">
              <w:rPr>
                <w:sz w:val="22"/>
                <w:szCs w:val="22"/>
              </w:rPr>
              <w:t xml:space="preserve">ORIGINAL </w:t>
            </w:r>
            <w:r w:rsidR="00886223" w:rsidRPr="00F66630">
              <w:rPr>
                <w:rFonts w:ascii="Times New Roman Bold" w:eastAsia="Calibri" w:hAnsi="Times New Roman Bold"/>
                <w:sz w:val="22"/>
                <w:szCs w:val="22"/>
              </w:rPr>
              <w:t>DLI 4: Strengthened Internally Generated Revenue (IGR) collection</w:t>
            </w:r>
            <w:bookmarkEnd w:id="24"/>
            <w:r w:rsidR="00213F3A" w:rsidRPr="00F66630">
              <w:rPr>
                <w:rFonts w:cs="Times New Roman"/>
                <w:b w:val="0"/>
                <w:bCs w:val="0"/>
                <w:color w:val="000000"/>
              </w:rPr>
              <w:t xml:space="preserve"> </w:t>
            </w:r>
          </w:p>
        </w:tc>
      </w:tr>
      <w:tr w:rsidR="007D562A" w:rsidRPr="00F66630" w14:paraId="44826951" w14:textId="77777777" w:rsidTr="00200DFA">
        <w:trPr>
          <w:trHeight w:val="470"/>
        </w:trPr>
        <w:tc>
          <w:tcPr>
            <w:tcW w:w="977" w:type="pct"/>
            <w:shd w:val="clear" w:color="auto" w:fill="FDE9D9" w:themeFill="accent6" w:themeFillTint="33"/>
          </w:tcPr>
          <w:p w14:paraId="5F2611AF" w14:textId="45F483B5" w:rsidR="007D562A" w:rsidRPr="00F66630" w:rsidRDefault="001A0310" w:rsidP="007D562A">
            <w:pPr>
              <w:rPr>
                <w:rFonts w:ascii="Times New Roman" w:hAnsi="Times New Roman" w:cs="Times New Roman"/>
                <w:b/>
                <w:i/>
              </w:rPr>
            </w:pPr>
            <w:r w:rsidRPr="00F66630">
              <w:rPr>
                <w:rFonts w:ascii="Times New Roman" w:hAnsi="Times New Roman" w:cs="Times New Roman"/>
                <w:b/>
                <w:i/>
              </w:rPr>
              <w:t>DLR description as per DLI Matrix</w:t>
            </w:r>
          </w:p>
        </w:tc>
        <w:tc>
          <w:tcPr>
            <w:tcW w:w="4023" w:type="pct"/>
            <w:gridSpan w:val="3"/>
            <w:shd w:val="clear" w:color="auto" w:fill="FDE9D9" w:themeFill="accent6" w:themeFillTint="33"/>
          </w:tcPr>
          <w:p w14:paraId="528146B5" w14:textId="7A6CCF2A"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86223" w:rsidRPr="00F66630" w14:paraId="771D1BD5" w14:textId="77777777" w:rsidTr="00200DFA">
        <w:trPr>
          <w:trHeight w:val="530"/>
        </w:trPr>
        <w:tc>
          <w:tcPr>
            <w:tcW w:w="977" w:type="pct"/>
          </w:tcPr>
          <w:p w14:paraId="3724DCF1" w14:textId="1EE4419D" w:rsidR="002C69BA" w:rsidRPr="00F66630" w:rsidRDefault="00556FCD" w:rsidP="00395C93">
            <w:pPr>
              <w:rPr>
                <w:rFonts w:ascii="Times New Roman" w:eastAsia="Times New Roman" w:hAnsi="Times New Roman" w:cs="Times New Roman"/>
                <w:b/>
                <w:bCs/>
              </w:rPr>
            </w:pPr>
            <w:r w:rsidRPr="00F66630">
              <w:rPr>
                <w:rFonts w:ascii="Times New Roman" w:hAnsi="Times New Roman" w:cs="Times New Roman"/>
                <w:b/>
                <w:bCs/>
              </w:rPr>
              <w:t xml:space="preserve">4.1 State implementing a consolidated state revenue code covering all state IGR sources and </w:t>
            </w:r>
            <w:r w:rsidRPr="00F66630">
              <w:rPr>
                <w:rFonts w:ascii="Times New Roman" w:hAnsi="Times New Roman" w:cs="Times New Roman"/>
                <w:b/>
                <w:bCs/>
                <w:color w:val="000000"/>
              </w:rPr>
              <w:t xml:space="preserve">stipulating that the state bureau of internal revenue is the sole agency responsible for state revenue collection and accounting. Code must be </w:t>
            </w:r>
            <w:r w:rsidRPr="00F66630">
              <w:rPr>
                <w:rFonts w:ascii="Times New Roman" w:hAnsi="Times New Roman" w:cs="Times New Roman"/>
                <w:b/>
                <w:bCs/>
              </w:rPr>
              <w:t xml:space="preserve">approved by the state legislature and published. </w:t>
            </w:r>
            <w:r w:rsidRPr="00F66630">
              <w:rPr>
                <w:rFonts w:ascii="Times New Roman" w:hAnsi="Times New Roman" w:cs="Times New Roman"/>
                <w:b/>
                <w:bCs/>
                <w:i/>
              </w:rPr>
              <w:t>(one-time payment for year in which DLR is first achieved, up to</w:t>
            </w:r>
            <w:r w:rsidR="006964A8" w:rsidRPr="00F66630">
              <w:rPr>
                <w:rFonts w:ascii="Times New Roman" w:hAnsi="Times New Roman" w:cs="Times New Roman"/>
                <w:b/>
                <w:bCs/>
                <w:i/>
              </w:rPr>
              <w:t xml:space="preserve"> the end of</w:t>
            </w:r>
            <w:r w:rsidRPr="00F66630">
              <w:rPr>
                <w:rFonts w:ascii="Times New Roman" w:hAnsi="Times New Roman" w:cs="Times New Roman"/>
                <w:b/>
                <w:bCs/>
                <w:i/>
              </w:rPr>
              <w:t xml:space="preserve"> </w:t>
            </w:r>
            <w:r w:rsidR="004D7419" w:rsidRPr="00F66630">
              <w:rPr>
                <w:rFonts w:ascii="Times New Roman" w:hAnsi="Times New Roman" w:cs="Times New Roman"/>
                <w:b/>
                <w:bCs/>
                <w:i/>
              </w:rPr>
              <w:t>2021</w:t>
            </w:r>
            <w:r w:rsidRPr="00F66630">
              <w:rPr>
                <w:rFonts w:ascii="Times New Roman" w:hAnsi="Times New Roman" w:cs="Times New Roman"/>
                <w:b/>
                <w:bCs/>
                <w:i/>
              </w:rPr>
              <w:t>)</w:t>
            </w:r>
          </w:p>
        </w:tc>
        <w:tc>
          <w:tcPr>
            <w:tcW w:w="4023" w:type="pct"/>
            <w:gridSpan w:val="3"/>
          </w:tcPr>
          <w:p w14:paraId="387B17EC" w14:textId="1CDF4A23" w:rsidR="00212DED" w:rsidRPr="00F66630" w:rsidRDefault="00212DED" w:rsidP="008648A2">
            <w:pPr>
              <w:spacing w:after="120"/>
              <w:rPr>
                <w:rFonts w:ascii="Times New Roman" w:eastAsia="Times New Roman" w:hAnsi="Times New Roman" w:cs="Times New Roman"/>
                <w:b/>
                <w:bCs/>
                <w:color w:val="000000"/>
              </w:rPr>
            </w:pPr>
            <w:r w:rsidRPr="00F66630">
              <w:rPr>
                <w:rFonts w:ascii="Times New Roman" w:eastAsia="Times New Roman" w:hAnsi="Times New Roman" w:cs="Times New Roman"/>
                <w:color w:val="000000"/>
              </w:rPr>
              <w:t xml:space="preserve">The consolidated </w:t>
            </w:r>
            <w:r w:rsidR="005B17E6" w:rsidRPr="00F66630">
              <w:rPr>
                <w:rFonts w:ascii="Times New Roman" w:eastAsia="Times New Roman" w:hAnsi="Times New Roman" w:cs="Times New Roman"/>
                <w:color w:val="000000"/>
              </w:rPr>
              <w:t xml:space="preserve">state </w:t>
            </w:r>
            <w:r w:rsidRPr="00F66630">
              <w:rPr>
                <w:rFonts w:ascii="Times New Roman" w:eastAsia="Times New Roman" w:hAnsi="Times New Roman" w:cs="Times New Roman"/>
                <w:color w:val="000000"/>
              </w:rPr>
              <w:t>revenue code may contain more than one law or resolution</w:t>
            </w:r>
            <w:r w:rsidR="007545B7" w:rsidRPr="00F66630">
              <w:rPr>
                <w:rFonts w:ascii="Times New Roman" w:eastAsia="Times New Roman" w:hAnsi="Times New Roman" w:cs="Times New Roman"/>
                <w:color w:val="000000"/>
              </w:rPr>
              <w:t xml:space="preserve"> </w:t>
            </w:r>
            <w:proofErr w:type="gramStart"/>
            <w:r w:rsidRPr="00F66630">
              <w:rPr>
                <w:rFonts w:ascii="Times New Roman" w:eastAsia="Times New Roman" w:hAnsi="Times New Roman" w:cs="Times New Roman"/>
                <w:color w:val="000000"/>
              </w:rPr>
              <w:t>provided that</w:t>
            </w:r>
            <w:proofErr w:type="gramEnd"/>
            <w:r w:rsidRPr="00F66630">
              <w:rPr>
                <w:rFonts w:ascii="Times New Roman" w:eastAsia="Times New Roman" w:hAnsi="Times New Roman" w:cs="Times New Roman"/>
                <w:color w:val="000000"/>
              </w:rPr>
              <w:t xml:space="preserve"> they are cross-referenced and linked.</w:t>
            </w:r>
          </w:p>
          <w:p w14:paraId="6990C8C2" w14:textId="00397CF3" w:rsidR="00CD6E64" w:rsidRPr="00F66630" w:rsidRDefault="00CD6E64" w:rsidP="0024733B">
            <w:pPr>
              <w:spacing w:after="120"/>
              <w:contextualSpacing/>
              <w:rPr>
                <w:rFonts w:ascii="Times New Roman" w:eastAsia="Times New Roman" w:hAnsi="Times New Roman" w:cs="Times New Roman"/>
                <w:b/>
                <w:bCs/>
                <w:color w:val="000000"/>
              </w:rPr>
            </w:pPr>
            <w:r w:rsidRPr="00F66630">
              <w:rPr>
                <w:rFonts w:ascii="Times New Roman" w:eastAsia="Times New Roman" w:hAnsi="Times New Roman" w:cs="Times New Roman"/>
                <w:b/>
                <w:bCs/>
                <w:color w:val="000000"/>
              </w:rPr>
              <w:t xml:space="preserve">Content: </w:t>
            </w:r>
          </w:p>
          <w:p w14:paraId="4EC199C0" w14:textId="1475E309" w:rsidR="00CD6E64" w:rsidRPr="00F66630" w:rsidRDefault="00CD6E64" w:rsidP="0024733B">
            <w:pPr>
              <w:spacing w:after="120"/>
              <w:contextualSpacing/>
              <w:rPr>
                <w:rFonts w:ascii="Times New Roman" w:eastAsia="Times New Roman" w:hAnsi="Times New Roman" w:cs="Times New Roman"/>
                <w:color w:val="000000"/>
              </w:rPr>
            </w:pPr>
            <w:r w:rsidRPr="00F66630">
              <w:rPr>
                <w:rFonts w:ascii="Times New Roman" w:eastAsia="Times New Roman" w:hAnsi="Times New Roman" w:cs="Times New Roman"/>
                <w:color w:val="000000"/>
              </w:rPr>
              <w:t>(i)</w:t>
            </w:r>
            <w:r w:rsidR="00886223" w:rsidRPr="00F66630">
              <w:rPr>
                <w:rFonts w:ascii="Times New Roman" w:eastAsia="Times New Roman" w:hAnsi="Times New Roman" w:cs="Times New Roman"/>
                <w:color w:val="000000"/>
              </w:rPr>
              <w:t xml:space="preserve">The up-to-date consolidated revenue code </w:t>
            </w:r>
            <w:r w:rsidR="007A213E" w:rsidRPr="00F66630">
              <w:rPr>
                <w:rFonts w:ascii="Times New Roman" w:eastAsia="Times New Roman" w:hAnsi="Times New Roman" w:cs="Times New Roman"/>
                <w:color w:val="000000"/>
              </w:rPr>
              <w:t>includes</w:t>
            </w:r>
            <w:r w:rsidR="00886223" w:rsidRPr="00F66630">
              <w:rPr>
                <w:rFonts w:ascii="Times New Roman" w:eastAsia="Times New Roman" w:hAnsi="Times New Roman" w:cs="Times New Roman"/>
                <w:color w:val="000000"/>
              </w:rPr>
              <w:t xml:space="preserve"> all the state’s IGR sources and all the local governments (falling under that state) IGR sources. IGR sources include presumptive tax, indirect </w:t>
            </w:r>
            <w:proofErr w:type="gramStart"/>
            <w:r w:rsidR="00886223" w:rsidRPr="00F66630">
              <w:rPr>
                <w:rFonts w:ascii="Times New Roman" w:eastAsia="Times New Roman" w:hAnsi="Times New Roman" w:cs="Times New Roman"/>
                <w:color w:val="000000"/>
              </w:rPr>
              <w:t>taxes</w:t>
            </w:r>
            <w:proofErr w:type="gramEnd"/>
            <w:r w:rsidR="00886223" w:rsidRPr="00F66630">
              <w:rPr>
                <w:rFonts w:ascii="Times New Roman" w:eastAsia="Times New Roman" w:hAnsi="Times New Roman" w:cs="Times New Roman"/>
                <w:color w:val="000000"/>
              </w:rPr>
              <w:t xml:space="preserve"> and levies (roads, hotels), fines, fees and charges. Personal income tax, including PAYE, which is collected by the State will be covered by the federal tax code. </w:t>
            </w:r>
          </w:p>
          <w:p w14:paraId="09938B51" w14:textId="5E251BF3" w:rsidR="00212DED" w:rsidRPr="00F66630" w:rsidRDefault="00212DED" w:rsidP="0024733B">
            <w:pPr>
              <w:spacing w:after="120"/>
              <w:contextualSpacing/>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(ii) </w:t>
            </w:r>
            <w:r w:rsidR="00926FA9" w:rsidRPr="00F66630">
              <w:rPr>
                <w:rFonts w:ascii="Times New Roman" w:eastAsia="Times New Roman" w:hAnsi="Times New Roman" w:cs="Times New Roman"/>
                <w:color w:val="000000"/>
              </w:rPr>
              <w:t xml:space="preserve">The </w:t>
            </w:r>
            <w:r w:rsidRPr="00F66630">
              <w:rPr>
                <w:rFonts w:ascii="Times New Roman" w:eastAsia="Times New Roman" w:hAnsi="Times New Roman" w:cs="Times New Roman"/>
                <w:color w:val="000000"/>
              </w:rPr>
              <w:t>consolidate</w:t>
            </w:r>
            <w:r w:rsidR="00112148" w:rsidRPr="00F66630">
              <w:rPr>
                <w:rFonts w:ascii="Times New Roman" w:eastAsia="Times New Roman" w:hAnsi="Times New Roman" w:cs="Times New Roman"/>
                <w:color w:val="000000"/>
              </w:rPr>
              <w:t>d</w:t>
            </w:r>
            <w:r w:rsidRPr="00F66630">
              <w:rPr>
                <w:rFonts w:ascii="Times New Roman" w:eastAsia="Times New Roman" w:hAnsi="Times New Roman" w:cs="Times New Roman"/>
                <w:color w:val="000000"/>
              </w:rPr>
              <w:t xml:space="preserve"> revenue code </w:t>
            </w:r>
            <w:r w:rsidR="00112148" w:rsidRPr="00F66630">
              <w:rPr>
                <w:rFonts w:ascii="Times New Roman" w:eastAsia="Times New Roman" w:hAnsi="Times New Roman" w:cs="Times New Roman"/>
                <w:color w:val="000000"/>
              </w:rPr>
              <w:t>must include</w:t>
            </w:r>
            <w:r w:rsidR="00926FA9" w:rsidRPr="00F66630">
              <w:rPr>
                <w:rFonts w:ascii="Times New Roman" w:eastAsia="Times New Roman" w:hAnsi="Times New Roman" w:cs="Times New Roman"/>
                <w:color w:val="000000"/>
              </w:rPr>
              <w:t xml:space="preserve"> the rates for each of the IGR sources</w:t>
            </w:r>
          </w:p>
          <w:p w14:paraId="74813A0F" w14:textId="789B6B30" w:rsidR="00886223" w:rsidRPr="00F66630" w:rsidRDefault="00CD6E64" w:rsidP="00571272">
            <w:pPr>
              <w:spacing w:after="120"/>
              <w:rPr>
                <w:rFonts w:ascii="Times New Roman" w:eastAsia="Times New Roman" w:hAnsi="Times New Roman" w:cs="Times New Roman"/>
                <w:color w:val="000000"/>
              </w:rPr>
            </w:pPr>
            <w:r w:rsidRPr="00F66630">
              <w:rPr>
                <w:rFonts w:ascii="Times New Roman" w:eastAsia="Times New Roman" w:hAnsi="Times New Roman" w:cs="Times New Roman"/>
                <w:color w:val="000000"/>
              </w:rPr>
              <w:t>(i</w:t>
            </w:r>
            <w:r w:rsidR="00926FA9" w:rsidRPr="00F66630">
              <w:rPr>
                <w:rFonts w:ascii="Times New Roman" w:eastAsia="Times New Roman" w:hAnsi="Times New Roman" w:cs="Times New Roman"/>
                <w:color w:val="000000"/>
              </w:rPr>
              <w:t>i</w:t>
            </w:r>
            <w:r w:rsidRPr="00F66630">
              <w:rPr>
                <w:rFonts w:ascii="Times New Roman" w:eastAsia="Times New Roman" w:hAnsi="Times New Roman" w:cs="Times New Roman"/>
                <w:color w:val="000000"/>
              </w:rPr>
              <w:t>i)</w:t>
            </w:r>
            <w:r w:rsidR="00886223" w:rsidRPr="00F66630">
              <w:rPr>
                <w:rFonts w:ascii="Times New Roman" w:eastAsia="Times New Roman" w:hAnsi="Times New Roman" w:cs="Times New Roman"/>
                <w:color w:val="000000"/>
              </w:rPr>
              <w:t xml:space="preserve">The consolidated revenue code must also stipulate that the state bureau of internal revenues (SBIR) is the sole agency responsible for state revenue (tax and non-tax) collection and accounting in the state. </w:t>
            </w:r>
            <w:r w:rsidR="007A213E" w:rsidRPr="00F66630">
              <w:rPr>
                <w:rFonts w:ascii="Times New Roman" w:eastAsia="Times New Roman" w:hAnsi="Times New Roman" w:cs="Times New Roman"/>
                <w:color w:val="000000"/>
              </w:rPr>
              <w:t xml:space="preserve">Collection of revenues must be into accounts nominated by the SBIR for the SBIR to be </w:t>
            </w:r>
            <w:r w:rsidR="00CA5975" w:rsidRPr="00F66630">
              <w:rPr>
                <w:rFonts w:ascii="Times New Roman" w:eastAsia="Times New Roman" w:hAnsi="Times New Roman" w:cs="Times New Roman"/>
                <w:color w:val="000000"/>
              </w:rPr>
              <w:t>deemed</w:t>
            </w:r>
            <w:r w:rsidR="007A213E" w:rsidRPr="00F66630">
              <w:rPr>
                <w:rFonts w:ascii="Times New Roman" w:eastAsia="Times New Roman" w:hAnsi="Times New Roman" w:cs="Times New Roman"/>
                <w:color w:val="000000"/>
              </w:rPr>
              <w:t xml:space="preserve"> responsible for collection.</w:t>
            </w:r>
          </w:p>
          <w:p w14:paraId="1FF8B7DE" w14:textId="35B5DC9B" w:rsidR="00EC7578" w:rsidRPr="00F66630" w:rsidRDefault="004B296C" w:rsidP="00571272">
            <w:pPr>
              <w:spacing w:after="120"/>
              <w:rPr>
                <w:rFonts w:ascii="Times New Roman" w:eastAsia="Times New Roman" w:hAnsi="Times New Roman" w:cs="Times New Roman"/>
                <w:color w:val="000000"/>
              </w:rPr>
            </w:pPr>
            <w:r w:rsidRPr="00F66630">
              <w:rPr>
                <w:rFonts w:ascii="Times New Roman" w:eastAsia="Times New Roman" w:hAnsi="Times New Roman" w:cs="Times New Roman"/>
                <w:b/>
                <w:bCs/>
                <w:color w:val="000000"/>
              </w:rPr>
              <w:t xml:space="preserve">Approvals: </w:t>
            </w:r>
            <w:r w:rsidR="00AC7B3B" w:rsidRPr="00F66630">
              <w:rPr>
                <w:rFonts w:ascii="Times New Roman" w:eastAsia="Times New Roman" w:hAnsi="Times New Roman" w:cs="Times New Roman"/>
                <w:color w:val="000000"/>
              </w:rPr>
              <w:t xml:space="preserve">The code or the law(s) and resolution(s) comprising the code must be approved by the state legislature to have a legal basis, either as a law or a resolution. They </w:t>
            </w:r>
            <w:r w:rsidR="00886223" w:rsidRPr="00F66630">
              <w:rPr>
                <w:rFonts w:ascii="Times New Roman" w:eastAsia="Times New Roman" w:hAnsi="Times New Roman" w:cs="Times New Roman"/>
                <w:color w:val="000000"/>
              </w:rPr>
              <w:t>cannot be an executive order with no legal basis.</w:t>
            </w:r>
            <w:r w:rsidR="00320B0B" w:rsidRPr="00F66630">
              <w:rPr>
                <w:rFonts w:ascii="Times New Roman" w:hAnsi="Times New Roman" w:cs="Times New Roman"/>
              </w:rPr>
              <w:t xml:space="preserve"> </w:t>
            </w:r>
            <w:r w:rsidR="009E7E3A" w:rsidRPr="00F66630">
              <w:rPr>
                <w:rFonts w:ascii="Times New Roman" w:hAnsi="Times New Roman" w:cs="Times New Roman"/>
              </w:rPr>
              <w:t>The approval shall occur by the 31 December of the year under assessment to count for that year.</w:t>
            </w:r>
            <w:r w:rsidR="0043790F" w:rsidRPr="00F66630">
              <w:rPr>
                <w:rFonts w:ascii="Times New Roman" w:eastAsia="Times New Roman" w:hAnsi="Times New Roman" w:cs="Times New Roman"/>
                <w:color w:val="000000"/>
              </w:rPr>
              <w:t xml:space="preserve"> </w:t>
            </w:r>
          </w:p>
          <w:p w14:paraId="4D52FE23" w14:textId="51D1F225" w:rsidR="00886223" w:rsidRPr="00F66630" w:rsidRDefault="004B296C" w:rsidP="008648A2">
            <w:pPr>
              <w:spacing w:after="120"/>
              <w:rPr>
                <w:rFonts w:ascii="Times New Roman" w:eastAsia="Times New Roman" w:hAnsi="Times New Roman" w:cs="Times New Roman"/>
                <w:color w:val="000000"/>
              </w:rPr>
            </w:pPr>
            <w:r w:rsidRPr="00F66630">
              <w:rPr>
                <w:rFonts w:ascii="Times New Roman" w:eastAsia="Times New Roman" w:hAnsi="Times New Roman" w:cs="Times New Roman"/>
                <w:b/>
                <w:bCs/>
                <w:color w:val="000000"/>
              </w:rPr>
              <w:t xml:space="preserve">Publication: </w:t>
            </w:r>
            <w:r w:rsidR="0043790F" w:rsidRPr="00F66630">
              <w:rPr>
                <w:rFonts w:ascii="Times New Roman" w:eastAsia="Times New Roman" w:hAnsi="Times New Roman" w:cs="Times New Roman"/>
                <w:color w:val="000000"/>
              </w:rPr>
              <w:t>The code or the law(s) and resolution(s) comprising the code must all be published</w:t>
            </w:r>
            <w:r w:rsidR="008648A2" w:rsidRPr="00F66630">
              <w:rPr>
                <w:rFonts w:ascii="Times New Roman" w:eastAsia="Times New Roman" w:hAnsi="Times New Roman" w:cs="Times New Roman"/>
                <w:color w:val="000000"/>
              </w:rPr>
              <w:t xml:space="preserve"> </w:t>
            </w:r>
            <w:r w:rsidR="008648A2" w:rsidRPr="00F66630">
              <w:rPr>
                <w:rFonts w:ascii="Times New Roman" w:hAnsi="Times New Roman" w:cs="Times New Roman"/>
              </w:rPr>
              <w:t>by the 31 December of the year under assessment to count for that year</w:t>
            </w:r>
            <w:r w:rsidR="0043790F" w:rsidRPr="00F66630">
              <w:rPr>
                <w:rFonts w:ascii="Times New Roman" w:eastAsia="Times New Roman" w:hAnsi="Times New Roman" w:cs="Times New Roman"/>
                <w:color w:val="000000"/>
              </w:rPr>
              <w:t>.</w:t>
            </w:r>
            <w:r w:rsidRPr="00F66630">
              <w:rPr>
                <w:rFonts w:ascii="Times New Roman" w:eastAsia="Times New Roman" w:hAnsi="Times New Roman" w:cs="Times New Roman"/>
                <w:color w:val="000000"/>
              </w:rPr>
              <w:t xml:space="preserve"> </w:t>
            </w:r>
            <w:r w:rsidR="00886223" w:rsidRPr="00F66630">
              <w:rPr>
                <w:rFonts w:ascii="Times New Roman" w:eastAsia="Times New Roman" w:hAnsi="Times New Roman" w:cs="Times New Roman"/>
                <w:color w:val="000000"/>
              </w:rPr>
              <w:t>Publication must include being published online, so it is automatically available to the public/all taxpayers.</w:t>
            </w:r>
          </w:p>
          <w:p w14:paraId="4D0C9781" w14:textId="60A3113D" w:rsidR="000A3D39" w:rsidRPr="00F66630" w:rsidRDefault="001C3524" w:rsidP="00E47CC6">
            <w:pPr>
              <w:spacing w:after="120"/>
              <w:rPr>
                <w:rFonts w:ascii="Times New Roman" w:eastAsia="Times New Roman" w:hAnsi="Times New Roman" w:cs="Times New Roman"/>
                <w:color w:val="000000"/>
              </w:rPr>
            </w:pPr>
            <w:r w:rsidRPr="00F66630">
              <w:rPr>
                <w:rFonts w:ascii="Times New Roman" w:eastAsia="Times New Roman" w:hAnsi="Times New Roman" w:cs="Times New Roman"/>
                <w:b/>
                <w:bCs/>
                <w:color w:val="000000"/>
              </w:rPr>
              <w:t xml:space="preserve">State implementation </w:t>
            </w:r>
            <w:r w:rsidR="00017FB7" w:rsidRPr="00F66630">
              <w:rPr>
                <w:rFonts w:ascii="Times New Roman" w:eastAsia="Times New Roman" w:hAnsi="Times New Roman" w:cs="Times New Roman"/>
                <w:color w:val="000000"/>
              </w:rPr>
              <w:t>of the revenue code means</w:t>
            </w:r>
            <w:r w:rsidR="00DF2E6C" w:rsidRPr="00F66630">
              <w:rPr>
                <w:rFonts w:ascii="Times New Roman" w:eastAsia="Times New Roman" w:hAnsi="Times New Roman" w:cs="Times New Roman"/>
                <w:color w:val="000000"/>
              </w:rPr>
              <w:t xml:space="preserve"> revenues are made into accounts </w:t>
            </w:r>
            <w:r w:rsidR="004D4DE0" w:rsidRPr="00F66630">
              <w:rPr>
                <w:rFonts w:ascii="Times New Roman" w:eastAsia="Times New Roman" w:hAnsi="Times New Roman" w:cs="Times New Roman"/>
                <w:color w:val="000000"/>
              </w:rPr>
              <w:t xml:space="preserve">either </w:t>
            </w:r>
            <w:r w:rsidR="00DF2E6C" w:rsidRPr="00F66630">
              <w:rPr>
                <w:rFonts w:ascii="Times New Roman" w:eastAsia="Times New Roman" w:hAnsi="Times New Roman" w:cs="Times New Roman"/>
                <w:color w:val="000000"/>
              </w:rPr>
              <w:t>nominated by the SBIR</w:t>
            </w:r>
            <w:r w:rsidR="004D4DE0" w:rsidRPr="00F66630">
              <w:rPr>
                <w:rFonts w:ascii="Times New Roman" w:eastAsia="Times New Roman" w:hAnsi="Times New Roman" w:cs="Times New Roman"/>
                <w:color w:val="000000"/>
              </w:rPr>
              <w:t xml:space="preserve"> OR SBIR has full oversight of the </w:t>
            </w:r>
            <w:r w:rsidR="0066492F" w:rsidRPr="00F66630">
              <w:rPr>
                <w:rFonts w:ascii="Times New Roman" w:eastAsia="Times New Roman" w:hAnsi="Times New Roman" w:cs="Times New Roman"/>
                <w:color w:val="000000"/>
              </w:rPr>
              <w:t>accounts and is responsible for reporting and accounting for the revenues</w:t>
            </w:r>
          </w:p>
        </w:tc>
      </w:tr>
      <w:tr w:rsidR="00B301D1" w:rsidRPr="00F66630" w14:paraId="1DEC6348" w14:textId="77777777" w:rsidTr="00200DFA">
        <w:tc>
          <w:tcPr>
            <w:tcW w:w="5000" w:type="pct"/>
            <w:gridSpan w:val="4"/>
            <w:shd w:val="clear" w:color="auto" w:fill="FDE9D9" w:themeFill="accent6" w:themeFillTint="33"/>
          </w:tcPr>
          <w:p w14:paraId="0406E4A3" w14:textId="77777777" w:rsidR="00B301D1" w:rsidRPr="00F66630" w:rsidRDefault="00B301D1" w:rsidP="00DE4E0B">
            <w:pPr>
              <w:rPr>
                <w:rFonts w:ascii="Times New Roman" w:hAnsi="Times New Roman" w:cs="Times New Roman"/>
                <w:b/>
                <w:i/>
              </w:rPr>
            </w:pPr>
            <w:r w:rsidRPr="00F66630">
              <w:rPr>
                <w:rFonts w:ascii="Times New Roman" w:hAnsi="Times New Roman" w:cs="Times New Roman"/>
                <w:b/>
                <w:i/>
              </w:rPr>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2A205A" w:rsidRPr="00F66630">
              <w:rPr>
                <w:rFonts w:ascii="Times New Roman" w:hAnsi="Times New Roman" w:cs="Times New Roman"/>
                <w:b/>
                <w:i/>
              </w:rPr>
              <w:t xml:space="preserve"> (2019 APA onwards)</w:t>
            </w:r>
          </w:p>
          <w:p w14:paraId="5BCB363B" w14:textId="00EFA12D" w:rsidR="00972B10" w:rsidRPr="00F66630" w:rsidRDefault="00972B10" w:rsidP="00DE4E0B">
            <w:pPr>
              <w:rPr>
                <w:rFonts w:ascii="Times New Roman" w:hAnsi="Times New Roman" w:cs="Times New Roman"/>
                <w:b/>
                <w:i/>
              </w:rPr>
            </w:pPr>
          </w:p>
        </w:tc>
      </w:tr>
      <w:tr w:rsidR="00B301D1" w:rsidRPr="00F66630" w14:paraId="4BB3F73D" w14:textId="77777777" w:rsidTr="00200DFA">
        <w:trPr>
          <w:trHeight w:val="800"/>
        </w:trPr>
        <w:tc>
          <w:tcPr>
            <w:tcW w:w="5000" w:type="pct"/>
            <w:gridSpan w:val="4"/>
          </w:tcPr>
          <w:p w14:paraId="64FA3156" w14:textId="77777777" w:rsidR="00B301D1" w:rsidRPr="00F66630" w:rsidRDefault="00B301D1" w:rsidP="00DE4E0B">
            <w:pPr>
              <w:rPr>
                <w:rFonts w:ascii="Times New Roman" w:hAnsi="Times New Roman" w:cs="Times New Roman"/>
                <w:b/>
                <w:i/>
                <w:u w:val="single"/>
              </w:rPr>
            </w:pPr>
            <w:bookmarkStart w:id="25" w:name="_Hlk524378866"/>
            <w:r w:rsidRPr="00F66630">
              <w:rPr>
                <w:rFonts w:ascii="Times New Roman" w:hAnsi="Times New Roman" w:cs="Times New Roman"/>
                <w:b/>
                <w:i/>
                <w:u w:val="single"/>
              </w:rPr>
              <w:t>Data Sources</w:t>
            </w:r>
          </w:p>
          <w:p w14:paraId="6B854AFA" w14:textId="385A34FB" w:rsidR="00B301D1" w:rsidRPr="00F66630" w:rsidRDefault="00104D3A" w:rsidP="00E36965">
            <w:pPr>
              <w:pStyle w:val="ListParagraph"/>
              <w:numPr>
                <w:ilvl w:val="0"/>
                <w:numId w:val="22"/>
              </w:numPr>
              <w:rPr>
                <w:rFonts w:ascii="Times New Roman" w:hAnsi="Times New Roman" w:cs="Times New Roman"/>
              </w:rPr>
            </w:pPr>
            <w:r w:rsidRPr="00F66630">
              <w:rPr>
                <w:rFonts w:ascii="Times New Roman" w:eastAsia="Times New Roman" w:hAnsi="Times New Roman" w:cs="Times New Roman"/>
                <w:b/>
                <w:bCs/>
                <w:iCs/>
              </w:rPr>
              <w:t>State official website(s)</w:t>
            </w:r>
            <w:r w:rsidRPr="00F66630">
              <w:rPr>
                <w:rFonts w:ascii="Times New Roman" w:hAnsi="Times New Roman" w:cs="Times New Roman"/>
              </w:rPr>
              <w:t>: the website of the Office of the Auditor-General for States, the website of the State Government, the website of relevant Ministries such as Finance, Budget and Economic Planning, the website of the State House of Assembly</w:t>
            </w:r>
            <w:bookmarkEnd w:id="25"/>
          </w:p>
          <w:p w14:paraId="54A4A753" w14:textId="7EE9D45F" w:rsidR="00972B10" w:rsidRPr="00F66630" w:rsidRDefault="00972B10" w:rsidP="004D7419">
            <w:pPr>
              <w:rPr>
                <w:rFonts w:ascii="Times New Roman" w:hAnsi="Times New Roman" w:cs="Times New Roman"/>
              </w:rPr>
            </w:pPr>
          </w:p>
        </w:tc>
      </w:tr>
      <w:tr w:rsidR="00886223" w:rsidRPr="00F66630" w14:paraId="4BE04874" w14:textId="77777777" w:rsidTr="00200DFA">
        <w:trPr>
          <w:trHeight w:val="530"/>
        </w:trPr>
        <w:tc>
          <w:tcPr>
            <w:tcW w:w="5000" w:type="pct"/>
            <w:gridSpan w:val="4"/>
          </w:tcPr>
          <w:p w14:paraId="35D9F85C" w14:textId="739A4C6F" w:rsidR="00886223" w:rsidRPr="00F66630" w:rsidRDefault="00886223" w:rsidP="00395C93">
            <w:pPr>
              <w:rPr>
                <w:rFonts w:ascii="Times New Roman" w:hAnsi="Times New Roman" w:cs="Times New Roman"/>
                <w:b/>
                <w:i/>
                <w:u w:val="single"/>
              </w:rPr>
            </w:pPr>
            <w:r w:rsidRPr="00F66630">
              <w:rPr>
                <w:rFonts w:ascii="Times New Roman" w:hAnsi="Times New Roman" w:cs="Times New Roman"/>
                <w:b/>
                <w:i/>
                <w:u w:val="single"/>
              </w:rPr>
              <w:t>Procedures</w:t>
            </w:r>
          </w:p>
          <w:p w14:paraId="017322A8" w14:textId="77777777" w:rsidR="00972B10" w:rsidRPr="00F66630" w:rsidRDefault="00972B10" w:rsidP="00395C93">
            <w:pPr>
              <w:rPr>
                <w:rFonts w:ascii="Times New Roman" w:hAnsi="Times New Roman" w:cs="Times New Roman"/>
                <w:b/>
                <w:i/>
                <w:u w:val="single"/>
              </w:rPr>
            </w:pPr>
          </w:p>
          <w:p w14:paraId="33570D28" w14:textId="0FE10BA5" w:rsidR="00886223" w:rsidRPr="00F66630" w:rsidRDefault="00886223" w:rsidP="00395C93">
            <w:pPr>
              <w:rPr>
                <w:rFonts w:ascii="Times New Roman" w:hAnsi="Times New Roman" w:cs="Times New Roman"/>
              </w:rPr>
            </w:pPr>
            <w:r w:rsidRPr="00F66630">
              <w:rPr>
                <w:rFonts w:ascii="Times New Roman" w:hAnsi="Times New Roman" w:cs="Times New Roman"/>
              </w:rPr>
              <w:t>The IVA will carry out the following</w:t>
            </w:r>
            <w:r w:rsidR="0023349A" w:rsidRPr="00F66630">
              <w:rPr>
                <w:rFonts w:ascii="Times New Roman" w:hAnsi="Times New Roman" w:cs="Times New Roman"/>
              </w:rPr>
              <w:t>:</w:t>
            </w:r>
          </w:p>
          <w:p w14:paraId="06631FCE" w14:textId="38505291" w:rsidR="00CA5975" w:rsidRPr="00F66630" w:rsidRDefault="00B126CF" w:rsidP="00E36965">
            <w:pPr>
              <w:pStyle w:val="ListParagraph"/>
              <w:numPr>
                <w:ilvl w:val="0"/>
                <w:numId w:val="15"/>
              </w:numPr>
              <w:rPr>
                <w:rFonts w:ascii="Times New Roman" w:hAnsi="Times New Roman" w:cs="Times New Roman"/>
              </w:rPr>
            </w:pPr>
            <w:r w:rsidRPr="00F66630">
              <w:rPr>
                <w:rFonts w:ascii="Times New Roman" w:hAnsi="Times New Roman" w:cs="Times New Roman"/>
              </w:rPr>
              <w:t>Obtain a copy of the published consolidated revenue code</w:t>
            </w:r>
            <w:r w:rsidR="006524D6" w:rsidRPr="00F66630">
              <w:rPr>
                <w:rFonts w:ascii="Times New Roman" w:hAnsi="Times New Roman" w:cs="Times New Roman"/>
              </w:rPr>
              <w:t xml:space="preserve"> from the State official website</w:t>
            </w:r>
            <w:r w:rsidR="00515B14" w:rsidRPr="00F66630">
              <w:rPr>
                <w:rFonts w:ascii="Times New Roman" w:hAnsi="Times New Roman" w:cs="Times New Roman"/>
              </w:rPr>
              <w:t>(s)</w:t>
            </w:r>
            <w:r w:rsidR="006524D6" w:rsidRPr="00F66630">
              <w:rPr>
                <w:rFonts w:ascii="Times New Roman" w:hAnsi="Times New Roman" w:cs="Times New Roman"/>
              </w:rPr>
              <w:t xml:space="preserve"> to confirm that the revenue code is published online and available to the public/all taxpayers.</w:t>
            </w:r>
            <w:r w:rsidR="00CA5975" w:rsidRPr="00F66630">
              <w:rPr>
                <w:rFonts w:ascii="Times New Roman" w:hAnsi="Times New Roman" w:cs="Times New Roman"/>
              </w:rPr>
              <w:t xml:space="preserve"> </w:t>
            </w:r>
          </w:p>
          <w:p w14:paraId="1CD502A1" w14:textId="3F5DBFAD" w:rsidR="00B126CF" w:rsidRPr="00F66630" w:rsidRDefault="00B126CF" w:rsidP="00E36965">
            <w:pPr>
              <w:pStyle w:val="ListParagraph"/>
              <w:numPr>
                <w:ilvl w:val="0"/>
                <w:numId w:val="15"/>
              </w:numPr>
              <w:rPr>
                <w:rFonts w:ascii="Times New Roman" w:hAnsi="Times New Roman" w:cs="Times New Roman"/>
              </w:rPr>
            </w:pPr>
            <w:r w:rsidRPr="00F66630">
              <w:rPr>
                <w:rFonts w:ascii="Times New Roman" w:hAnsi="Times New Roman" w:cs="Times New Roman"/>
              </w:rPr>
              <w:lastRenderedPageBreak/>
              <w:t>Confi</w:t>
            </w:r>
            <w:r w:rsidR="00104D3A" w:rsidRPr="00F66630">
              <w:rPr>
                <w:rFonts w:ascii="Times New Roman" w:hAnsi="Times New Roman" w:cs="Times New Roman"/>
              </w:rPr>
              <w:t>rm the dates of posting to the w</w:t>
            </w:r>
            <w:r w:rsidRPr="00F66630">
              <w:rPr>
                <w:rFonts w:ascii="Times New Roman" w:hAnsi="Times New Roman" w:cs="Times New Roman"/>
              </w:rPr>
              <w:t>ebsite</w:t>
            </w:r>
            <w:r w:rsidR="00CA5975" w:rsidRPr="00F66630">
              <w:rPr>
                <w:rFonts w:ascii="Times New Roman" w:hAnsi="Times New Roman" w:cs="Times New Roman"/>
              </w:rPr>
              <w:t>(s)</w:t>
            </w:r>
            <w:r w:rsidRPr="00F66630">
              <w:rPr>
                <w:rFonts w:ascii="Times New Roman" w:hAnsi="Times New Roman" w:cs="Times New Roman"/>
              </w:rPr>
              <w:t xml:space="preserve"> and evidence of posting on the stated dates. Confirmation will be through a timestamp showing the date of publication (or through evidence obtained from the State IT Service provider). The code </w:t>
            </w:r>
            <w:r w:rsidR="00CA5975" w:rsidRPr="00F66630">
              <w:rPr>
                <w:rFonts w:ascii="Times New Roman" w:hAnsi="Times New Roman" w:cs="Times New Roman"/>
              </w:rPr>
              <w:t>must</w:t>
            </w:r>
            <w:r w:rsidRPr="00F66630">
              <w:rPr>
                <w:rFonts w:ascii="Times New Roman" w:hAnsi="Times New Roman" w:cs="Times New Roman"/>
              </w:rPr>
              <w:t xml:space="preserve"> be posted by the 31</w:t>
            </w:r>
            <w:r w:rsidR="00CA5975" w:rsidRPr="00F66630">
              <w:rPr>
                <w:rFonts w:ascii="Times New Roman" w:hAnsi="Times New Roman" w:cs="Times New Roman"/>
                <w:vertAlign w:val="superscript"/>
              </w:rPr>
              <w:t>st</w:t>
            </w:r>
            <w:r w:rsidR="00CA5975" w:rsidRPr="00F66630">
              <w:rPr>
                <w:rFonts w:ascii="Times New Roman" w:hAnsi="Times New Roman" w:cs="Times New Roman"/>
              </w:rPr>
              <w:t xml:space="preserve"> of</w:t>
            </w:r>
            <w:r w:rsidRPr="00F66630">
              <w:rPr>
                <w:rFonts w:ascii="Times New Roman" w:hAnsi="Times New Roman" w:cs="Times New Roman"/>
              </w:rPr>
              <w:t xml:space="preserve"> December of th</w:t>
            </w:r>
            <w:r w:rsidR="00CA5975" w:rsidRPr="00F66630">
              <w:rPr>
                <w:rFonts w:ascii="Times New Roman" w:hAnsi="Times New Roman" w:cs="Times New Roman"/>
              </w:rPr>
              <w:t xml:space="preserve">e </w:t>
            </w:r>
            <w:r w:rsidRPr="00F66630">
              <w:rPr>
                <w:rFonts w:ascii="Times New Roman" w:hAnsi="Times New Roman" w:cs="Times New Roman"/>
              </w:rPr>
              <w:t xml:space="preserve">year </w:t>
            </w:r>
            <w:r w:rsidR="00CA5975" w:rsidRPr="00F66630">
              <w:rPr>
                <w:rFonts w:ascii="Times New Roman" w:hAnsi="Times New Roman" w:cs="Times New Roman"/>
              </w:rPr>
              <w:t xml:space="preserve">under assessment </w:t>
            </w:r>
            <w:r w:rsidRPr="00F66630">
              <w:rPr>
                <w:rFonts w:ascii="Times New Roman" w:hAnsi="Times New Roman" w:cs="Times New Roman"/>
              </w:rPr>
              <w:t>to count for that year.</w:t>
            </w:r>
          </w:p>
          <w:p w14:paraId="7A870D5A" w14:textId="351704F3" w:rsidR="00886223" w:rsidRPr="00F66630" w:rsidRDefault="006524D6" w:rsidP="00E36965">
            <w:pPr>
              <w:pStyle w:val="ListParagraph"/>
              <w:numPr>
                <w:ilvl w:val="0"/>
                <w:numId w:val="15"/>
              </w:numPr>
              <w:rPr>
                <w:rFonts w:ascii="Times New Roman" w:hAnsi="Times New Roman" w:cs="Times New Roman"/>
                <w:i/>
              </w:rPr>
            </w:pPr>
            <w:r w:rsidRPr="00F66630">
              <w:rPr>
                <w:rFonts w:ascii="Times New Roman" w:hAnsi="Times New Roman" w:cs="Times New Roman"/>
              </w:rPr>
              <w:t xml:space="preserve">Confirm whether the consolidated revenue code covers </w:t>
            </w:r>
            <w:r w:rsidR="00886223" w:rsidRPr="00F66630">
              <w:rPr>
                <w:rFonts w:ascii="Times New Roman" w:hAnsi="Times New Roman" w:cs="Times New Roman"/>
              </w:rPr>
              <w:t xml:space="preserve">all the </w:t>
            </w:r>
            <w:proofErr w:type="gramStart"/>
            <w:r w:rsidR="00886223" w:rsidRPr="00F66630">
              <w:rPr>
                <w:rFonts w:ascii="Times New Roman" w:hAnsi="Times New Roman" w:cs="Times New Roman"/>
              </w:rPr>
              <w:t>state’s</w:t>
            </w:r>
            <w:proofErr w:type="gramEnd"/>
            <w:r w:rsidR="00886223" w:rsidRPr="00F66630">
              <w:rPr>
                <w:rFonts w:ascii="Times New Roman" w:hAnsi="Times New Roman" w:cs="Times New Roman"/>
              </w:rPr>
              <w:t xml:space="preserve"> and local governments </w:t>
            </w:r>
            <w:r w:rsidRPr="00F66630">
              <w:rPr>
                <w:rFonts w:ascii="Times New Roman" w:hAnsi="Times New Roman" w:cs="Times New Roman"/>
              </w:rPr>
              <w:t xml:space="preserve">(falling under that state) </w:t>
            </w:r>
            <w:r w:rsidR="00886223" w:rsidRPr="00F66630">
              <w:rPr>
                <w:rFonts w:ascii="Times New Roman" w:hAnsi="Times New Roman" w:cs="Times New Roman"/>
              </w:rPr>
              <w:t xml:space="preserve">IGR sources. IGR sources include presumptive taxes, indirect taxes and levies, fines, </w:t>
            </w:r>
            <w:proofErr w:type="gramStart"/>
            <w:r w:rsidR="00886223" w:rsidRPr="00F66630">
              <w:rPr>
                <w:rFonts w:ascii="Times New Roman" w:hAnsi="Times New Roman" w:cs="Times New Roman"/>
              </w:rPr>
              <w:t>fees</w:t>
            </w:r>
            <w:proofErr w:type="gramEnd"/>
            <w:r w:rsidR="00886223" w:rsidRPr="00F66630">
              <w:rPr>
                <w:rFonts w:ascii="Times New Roman" w:hAnsi="Times New Roman" w:cs="Times New Roman"/>
              </w:rPr>
              <w:t xml:space="preserve"> and charges. </w:t>
            </w:r>
            <w:r w:rsidRPr="00F66630">
              <w:rPr>
                <w:rFonts w:ascii="Times New Roman" w:hAnsi="Times New Roman" w:cs="Times New Roman"/>
                <w:i/>
              </w:rPr>
              <w:t xml:space="preserve">Note that </w:t>
            </w:r>
            <w:r w:rsidR="00886223" w:rsidRPr="00F66630">
              <w:rPr>
                <w:rFonts w:ascii="Times New Roman" w:hAnsi="Times New Roman" w:cs="Times New Roman"/>
                <w:i/>
              </w:rPr>
              <w:t>Personal income tax, including PAYE, which is collected by the State will be covered by the federal tax c</w:t>
            </w:r>
            <w:r w:rsidRPr="00F66630">
              <w:rPr>
                <w:rFonts w:ascii="Times New Roman" w:hAnsi="Times New Roman" w:cs="Times New Roman"/>
                <w:i/>
              </w:rPr>
              <w:t>ode so will be excluded from the state code.</w:t>
            </w:r>
          </w:p>
          <w:p w14:paraId="78D10113" w14:textId="49134E27" w:rsidR="00C15966" w:rsidRPr="00F66630" w:rsidRDefault="00C15966" w:rsidP="00E36965">
            <w:pPr>
              <w:pStyle w:val="ListParagraph"/>
              <w:numPr>
                <w:ilvl w:val="0"/>
                <w:numId w:val="15"/>
              </w:numPr>
              <w:rPr>
                <w:rFonts w:ascii="Times New Roman" w:hAnsi="Times New Roman" w:cs="Times New Roman"/>
              </w:rPr>
            </w:pPr>
            <w:r w:rsidRPr="00F66630">
              <w:rPr>
                <w:rFonts w:ascii="Times New Roman" w:hAnsi="Times New Roman" w:cs="Times New Roman"/>
              </w:rPr>
              <w:t xml:space="preserve">Confirm that the information published with the consolidated revenue code includes </w:t>
            </w:r>
            <w:r w:rsidR="00D62080" w:rsidRPr="00F66630">
              <w:rPr>
                <w:rFonts w:ascii="Times New Roman" w:hAnsi="Times New Roman" w:cs="Times New Roman"/>
              </w:rPr>
              <w:t xml:space="preserve">the rate chargeable for each </w:t>
            </w:r>
            <w:r w:rsidRPr="00F66630">
              <w:rPr>
                <w:rFonts w:ascii="Times New Roman" w:hAnsi="Times New Roman" w:cs="Times New Roman"/>
              </w:rPr>
              <w:t>IGR source.</w:t>
            </w:r>
          </w:p>
          <w:p w14:paraId="6BE34FC1" w14:textId="77777777" w:rsidR="00886223" w:rsidRPr="00F66630" w:rsidRDefault="00886223" w:rsidP="00E36965">
            <w:pPr>
              <w:pStyle w:val="ListParagraph"/>
              <w:numPr>
                <w:ilvl w:val="0"/>
                <w:numId w:val="15"/>
              </w:numPr>
              <w:rPr>
                <w:rFonts w:ascii="Times New Roman" w:hAnsi="Times New Roman" w:cs="Times New Roman"/>
              </w:rPr>
            </w:pPr>
            <w:r w:rsidRPr="00F66630">
              <w:rPr>
                <w:rFonts w:ascii="Times New Roman" w:hAnsi="Times New Roman" w:cs="Times New Roman"/>
              </w:rPr>
              <w:t xml:space="preserve">Confirm whether the consolidated revenue code stipulates that the state bureau of internal revenues (SBIR) is the sole agency responsible for state revenue (tax and non-tax) collection and accounting in the state. Document the relevant specific sections and text of the code. </w:t>
            </w:r>
          </w:p>
          <w:p w14:paraId="269244BB" w14:textId="20E82123" w:rsidR="00886223" w:rsidRPr="00F66630" w:rsidRDefault="00886223" w:rsidP="00E36965">
            <w:pPr>
              <w:pStyle w:val="ListParagraph"/>
              <w:numPr>
                <w:ilvl w:val="0"/>
                <w:numId w:val="15"/>
              </w:numPr>
              <w:rPr>
                <w:rFonts w:ascii="Times New Roman" w:hAnsi="Times New Roman" w:cs="Times New Roman"/>
                <w:b/>
                <w:i/>
              </w:rPr>
            </w:pPr>
            <w:r w:rsidRPr="00F66630">
              <w:rPr>
                <w:rFonts w:ascii="Times New Roman" w:hAnsi="Times New Roman" w:cs="Times New Roman"/>
              </w:rPr>
              <w:t>Confirm whethe</w:t>
            </w:r>
            <w:r w:rsidR="00104D3A" w:rsidRPr="00F66630">
              <w:rPr>
                <w:rFonts w:ascii="Times New Roman" w:hAnsi="Times New Roman" w:cs="Times New Roman"/>
              </w:rPr>
              <w:t>r the code was approved by the S</w:t>
            </w:r>
            <w:r w:rsidRPr="00F66630">
              <w:rPr>
                <w:rFonts w:ascii="Times New Roman" w:hAnsi="Times New Roman" w:cs="Times New Roman"/>
              </w:rPr>
              <w:t xml:space="preserve">tate House of Assembly, possibly through a </w:t>
            </w:r>
            <w:r w:rsidR="006524D6" w:rsidRPr="00F66630">
              <w:rPr>
                <w:rFonts w:ascii="Times New Roman" w:hAnsi="Times New Roman" w:cs="Times New Roman"/>
              </w:rPr>
              <w:t xml:space="preserve">resolution or </w:t>
            </w:r>
            <w:r w:rsidRPr="00F66630">
              <w:rPr>
                <w:rFonts w:ascii="Times New Roman" w:hAnsi="Times New Roman" w:cs="Times New Roman"/>
              </w:rPr>
              <w:t>as part of a</w:t>
            </w:r>
            <w:r w:rsidR="006524D6" w:rsidRPr="00F66630">
              <w:rPr>
                <w:rFonts w:ascii="Times New Roman" w:hAnsi="Times New Roman" w:cs="Times New Roman"/>
              </w:rPr>
              <w:t xml:space="preserve"> law such as the </w:t>
            </w:r>
            <w:r w:rsidRPr="00F66630">
              <w:rPr>
                <w:rFonts w:ascii="Times New Roman" w:hAnsi="Times New Roman" w:cs="Times New Roman"/>
              </w:rPr>
              <w:t>Act on Fiscal</w:t>
            </w:r>
            <w:r w:rsidR="006524D6" w:rsidRPr="00F66630">
              <w:rPr>
                <w:rFonts w:ascii="Times New Roman" w:hAnsi="Times New Roman" w:cs="Times New Roman"/>
              </w:rPr>
              <w:t xml:space="preserve"> Responsibility/Sustainability or </w:t>
            </w:r>
            <w:r w:rsidRPr="00F66630">
              <w:rPr>
                <w:rFonts w:ascii="Times New Roman" w:hAnsi="Times New Roman" w:cs="Times New Roman"/>
              </w:rPr>
              <w:t>the enabling Act for the State Board of Internal Revenue.</w:t>
            </w:r>
          </w:p>
          <w:p w14:paraId="19E4506B" w14:textId="77777777" w:rsidR="00750D0A" w:rsidRPr="00F66630" w:rsidRDefault="004B5A15" w:rsidP="00E36965">
            <w:pPr>
              <w:pStyle w:val="ListParagraph"/>
              <w:numPr>
                <w:ilvl w:val="0"/>
                <w:numId w:val="15"/>
              </w:numPr>
            </w:pPr>
            <w:r w:rsidRPr="00F66630">
              <w:rPr>
                <w:rFonts w:ascii="Times New Roman" w:hAnsi="Times New Roman" w:cs="Times New Roman"/>
              </w:rPr>
              <w:t xml:space="preserve">Confirm that the collection </w:t>
            </w:r>
            <w:r w:rsidR="00DE7163" w:rsidRPr="00F66630">
              <w:rPr>
                <w:rFonts w:ascii="Times New Roman" w:hAnsi="Times New Roman" w:cs="Times New Roman"/>
              </w:rPr>
              <w:t xml:space="preserve">of revenues is </w:t>
            </w:r>
            <w:r w:rsidR="00750D0A" w:rsidRPr="00F66630">
              <w:rPr>
                <w:rFonts w:ascii="Times New Roman" w:hAnsi="Times New Roman" w:cs="Times New Roman"/>
              </w:rPr>
              <w:t>made into accounts(s) nominated by the SBIR</w:t>
            </w:r>
            <w:r w:rsidR="00421023" w:rsidRPr="00F66630">
              <w:rPr>
                <w:rFonts w:ascii="Times New Roman" w:hAnsi="Times New Roman" w:cs="Times New Roman"/>
              </w:rPr>
              <w:t xml:space="preserve"> </w:t>
            </w:r>
            <w:r w:rsidR="00421023" w:rsidRPr="00F66630">
              <w:rPr>
                <w:rFonts w:ascii="Times New Roman" w:eastAsia="Times New Roman" w:hAnsi="Times New Roman" w:cs="Times New Roman"/>
                <w:color w:val="000000"/>
              </w:rPr>
              <w:t>OR SBIR has full oversight of the accounts and is responsible for reporting and accounting for the revenues.</w:t>
            </w:r>
          </w:p>
          <w:p w14:paraId="3288F9B4" w14:textId="390542E6" w:rsidR="00972B10" w:rsidRPr="00F66630" w:rsidRDefault="00972B10" w:rsidP="00972B10">
            <w:pPr>
              <w:pStyle w:val="ListParagraph"/>
              <w:ind w:left="1080"/>
            </w:pPr>
          </w:p>
        </w:tc>
      </w:tr>
      <w:tr w:rsidR="007D562A" w:rsidRPr="00F66630" w14:paraId="7AEF3D94" w14:textId="77777777" w:rsidTr="00200DFA">
        <w:trPr>
          <w:trHeight w:val="470"/>
        </w:trPr>
        <w:tc>
          <w:tcPr>
            <w:tcW w:w="977" w:type="pct"/>
            <w:shd w:val="clear" w:color="auto" w:fill="FDE9D9" w:themeFill="accent6" w:themeFillTint="33"/>
          </w:tcPr>
          <w:p w14:paraId="059FBAF7" w14:textId="157392DA" w:rsidR="007D562A" w:rsidRPr="00F66630" w:rsidRDefault="001A0310" w:rsidP="007D562A">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4023" w:type="pct"/>
            <w:gridSpan w:val="3"/>
            <w:shd w:val="clear" w:color="auto" w:fill="FDE9D9" w:themeFill="accent6" w:themeFillTint="33"/>
          </w:tcPr>
          <w:p w14:paraId="5BD44F33" w14:textId="3D20D7FD" w:rsidR="007D562A" w:rsidRPr="00F66630" w:rsidRDefault="007D562A" w:rsidP="007D562A">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86223" w:rsidRPr="00F66630" w14:paraId="452C4527" w14:textId="77777777" w:rsidTr="00200DFA">
        <w:trPr>
          <w:trHeight w:val="530"/>
        </w:trPr>
        <w:tc>
          <w:tcPr>
            <w:tcW w:w="977" w:type="pct"/>
          </w:tcPr>
          <w:p w14:paraId="4BA728BE" w14:textId="60751202" w:rsidR="00886223" w:rsidRPr="00F66630" w:rsidRDefault="00886223" w:rsidP="00395C93">
            <w:pPr>
              <w:rPr>
                <w:rFonts w:ascii="Times New Roman" w:eastAsia="Times New Roman" w:hAnsi="Times New Roman" w:cs="Times New Roman"/>
                <w:b/>
                <w:bCs/>
              </w:rPr>
            </w:pPr>
            <w:r w:rsidRPr="00F66630">
              <w:rPr>
                <w:rFonts w:ascii="Times New Roman" w:eastAsia="Times New Roman" w:hAnsi="Times New Roman" w:cs="Times New Roman"/>
                <w:b/>
                <w:color w:val="000000"/>
              </w:rPr>
              <w:t>4.2 Annual nominal IGR growth rate meets target</w:t>
            </w:r>
          </w:p>
        </w:tc>
        <w:tc>
          <w:tcPr>
            <w:tcW w:w="4023" w:type="pct"/>
            <w:gridSpan w:val="3"/>
          </w:tcPr>
          <w:p w14:paraId="4A55DAF3" w14:textId="650EFECC" w:rsidR="00886223" w:rsidRPr="00F66630" w:rsidRDefault="00886223"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Annual nominal growth rate of total state IGR is computed as the difference between the total IGR collected </w:t>
            </w:r>
            <w:r w:rsidR="00296A54" w:rsidRPr="00F66630">
              <w:rPr>
                <w:rFonts w:ascii="Times New Roman" w:eastAsia="Times New Roman" w:hAnsi="Times New Roman" w:cs="Times New Roman"/>
                <w:color w:val="000000"/>
              </w:rPr>
              <w:t xml:space="preserve">1st </w:t>
            </w:r>
            <w:r w:rsidRPr="00F66630">
              <w:rPr>
                <w:rFonts w:ascii="Times New Roman" w:eastAsia="Times New Roman" w:hAnsi="Times New Roman" w:cs="Times New Roman"/>
                <w:color w:val="000000"/>
              </w:rPr>
              <w:t>Jan</w:t>
            </w:r>
            <w:r w:rsidR="00296A54" w:rsidRPr="00F66630">
              <w:rPr>
                <w:rFonts w:ascii="Times New Roman" w:eastAsia="Times New Roman" w:hAnsi="Times New Roman" w:cs="Times New Roman"/>
                <w:color w:val="000000"/>
              </w:rPr>
              <w:t xml:space="preserve">uary to 31st December </w:t>
            </w:r>
            <w:r w:rsidRPr="00F66630">
              <w:rPr>
                <w:rFonts w:ascii="Times New Roman" w:eastAsia="Times New Roman" w:hAnsi="Times New Roman" w:cs="Times New Roman"/>
                <w:color w:val="000000"/>
              </w:rPr>
              <w:t xml:space="preserve">in the year </w:t>
            </w:r>
            <w:r w:rsidR="00296A54" w:rsidRPr="00F66630">
              <w:rPr>
                <w:rFonts w:ascii="Times New Roman" w:eastAsia="Times New Roman" w:hAnsi="Times New Roman" w:cs="Times New Roman"/>
                <w:color w:val="000000"/>
              </w:rPr>
              <w:t xml:space="preserve">of assessment </w:t>
            </w:r>
            <w:r w:rsidRPr="00F66630">
              <w:rPr>
                <w:rFonts w:ascii="Times New Roman" w:eastAsia="Times New Roman" w:hAnsi="Times New Roman" w:cs="Times New Roman"/>
                <w:color w:val="000000"/>
              </w:rPr>
              <w:t xml:space="preserve">and the total IGR collected </w:t>
            </w:r>
            <w:r w:rsidR="00296A54" w:rsidRPr="00F66630">
              <w:rPr>
                <w:rFonts w:ascii="Times New Roman" w:eastAsia="Times New Roman" w:hAnsi="Times New Roman" w:cs="Times New Roman"/>
                <w:color w:val="000000"/>
              </w:rPr>
              <w:t xml:space="preserve">1st January to 31st December </w:t>
            </w:r>
            <w:r w:rsidRPr="00F66630">
              <w:rPr>
                <w:rFonts w:ascii="Times New Roman" w:eastAsia="Times New Roman" w:hAnsi="Times New Roman" w:cs="Times New Roman"/>
                <w:color w:val="000000"/>
              </w:rPr>
              <w:t>in the previous year</w:t>
            </w:r>
            <w:r w:rsidR="00296A54" w:rsidRPr="00F66630">
              <w:rPr>
                <w:rFonts w:ascii="Times New Roman" w:eastAsia="Times New Roman" w:hAnsi="Times New Roman" w:cs="Times New Roman"/>
                <w:color w:val="000000"/>
              </w:rPr>
              <w:t xml:space="preserve"> (previous to the year of assessment)</w:t>
            </w:r>
            <w:r w:rsidRPr="00F66630">
              <w:rPr>
                <w:rFonts w:ascii="Times New Roman" w:eastAsia="Times New Roman" w:hAnsi="Times New Roman" w:cs="Times New Roman"/>
                <w:color w:val="000000"/>
              </w:rPr>
              <w:t>, divided by the total IGR collected in Jan-Dec in the previous year, and expressed as a percentage, which could be negative (if IGR has declined) or positive (if IGR has increased). The ratio must meet the basic or stretch targets.</w:t>
            </w:r>
          </w:p>
          <w:p w14:paraId="5ABD7B23" w14:textId="77777777" w:rsidR="00886223" w:rsidRPr="00F66630" w:rsidRDefault="00886223" w:rsidP="00395C93">
            <w:pPr>
              <w:rPr>
                <w:rFonts w:ascii="Times New Roman" w:eastAsia="Times New Roman" w:hAnsi="Times New Roman" w:cs="Times New Roman"/>
                <w:color w:val="000000"/>
              </w:rPr>
            </w:pPr>
          </w:p>
          <w:p w14:paraId="571A9B00" w14:textId="77777777" w:rsidR="002952FD" w:rsidRPr="00F66630" w:rsidRDefault="00886223"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The IGR receipts included must come from regular IGR sources and not from financing or savings items. </w:t>
            </w:r>
          </w:p>
          <w:p w14:paraId="052408FD" w14:textId="77777777" w:rsidR="002952FD" w:rsidRPr="00F66630" w:rsidRDefault="002952FD" w:rsidP="00395C93">
            <w:pPr>
              <w:rPr>
                <w:rFonts w:ascii="Times New Roman" w:eastAsia="Times New Roman" w:hAnsi="Times New Roman" w:cs="Times New Roman"/>
                <w:color w:val="000000"/>
              </w:rPr>
            </w:pPr>
          </w:p>
          <w:p w14:paraId="3229D15F" w14:textId="32B92DEF" w:rsidR="00886223" w:rsidRPr="00F66630" w:rsidRDefault="00886223" w:rsidP="00395C93">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Specifically, IGR is defined as all sources of State revenue from taxes, levies, fines, fees, and charges </w:t>
            </w:r>
            <w:proofErr w:type="gramStart"/>
            <w:r w:rsidRPr="00F66630">
              <w:rPr>
                <w:rFonts w:ascii="Times New Roman" w:eastAsia="Times New Roman" w:hAnsi="Times New Roman" w:cs="Times New Roman"/>
                <w:color w:val="000000"/>
              </w:rPr>
              <w:t>provided that</w:t>
            </w:r>
            <w:proofErr w:type="gramEnd"/>
            <w:r w:rsidRPr="00F66630">
              <w:rPr>
                <w:rFonts w:ascii="Times New Roman" w:eastAsia="Times New Roman" w:hAnsi="Times New Roman" w:cs="Times New Roman"/>
                <w:color w:val="000000"/>
              </w:rPr>
              <w:t xml:space="preserve"> these are as defined in any or all of the following codes passed by the relevant legislative bodies, as required:</w:t>
            </w:r>
          </w:p>
          <w:p w14:paraId="1B6C02DC" w14:textId="77777777" w:rsidR="006524D6" w:rsidRPr="00F66630" w:rsidRDefault="00886223" w:rsidP="00395C93">
            <w:pPr>
              <w:pStyle w:val="ListParagraph"/>
              <w:numPr>
                <w:ilvl w:val="0"/>
                <w:numId w:val="6"/>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Taxes, levies, fees and fines for States and Local Governments as listed in Part 2 and 3 of the Taxes and Levies (Approved list for collection) Act 2004 as amended in 2015.</w:t>
            </w:r>
          </w:p>
          <w:p w14:paraId="4D3DD310" w14:textId="265EE5DC" w:rsidR="006524D6" w:rsidRPr="00F66630" w:rsidRDefault="00886223" w:rsidP="00213F3A">
            <w:pPr>
              <w:pStyle w:val="ListParagraph"/>
              <w:numPr>
                <w:ilvl w:val="0"/>
                <w:numId w:val="6"/>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Taxes, levies, fees and fines for States and Local Governments as codified and listed in the consolidated state revenue code (if it exists) Charges by States MDAs as codified and listed in the consolidated state revenue code (if it exists)</w:t>
            </w:r>
            <w:r w:rsidR="00246BE3" w:rsidRPr="00F66630">
              <w:rPr>
                <w:rFonts w:ascii="Times New Roman" w:eastAsia="Times New Roman" w:hAnsi="Times New Roman" w:cs="Times New Roman"/>
                <w:color w:val="000000"/>
              </w:rPr>
              <w:t>, or in various</w:t>
            </w:r>
            <w:r w:rsidR="00741C97" w:rsidRPr="00F66630">
              <w:rPr>
                <w:rFonts w:ascii="Times New Roman" w:eastAsia="Times New Roman" w:hAnsi="Times New Roman" w:cs="Times New Roman"/>
                <w:color w:val="000000"/>
              </w:rPr>
              <w:t xml:space="preserve"> state legislation.</w:t>
            </w:r>
          </w:p>
          <w:p w14:paraId="21A4FD25" w14:textId="4B6971B4" w:rsidR="0090101C" w:rsidRPr="00F66630" w:rsidRDefault="0090101C" w:rsidP="0090101C">
            <w:pPr>
              <w:rPr>
                <w:rFonts w:ascii="Times New Roman" w:eastAsia="Times New Roman" w:hAnsi="Times New Roman" w:cs="Times New Roman"/>
                <w:color w:val="000000"/>
              </w:rPr>
            </w:pPr>
          </w:p>
          <w:p w14:paraId="740A6338" w14:textId="77777777" w:rsidR="00637F9F" w:rsidRPr="00F66630" w:rsidRDefault="0090101C" w:rsidP="0090101C">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IGR receipts include</w:t>
            </w:r>
            <w:r w:rsidR="00FA273F" w:rsidRPr="00F66630">
              <w:rPr>
                <w:rFonts w:ascii="Times New Roman" w:eastAsia="Times New Roman" w:hAnsi="Times New Roman" w:cs="Times New Roman"/>
                <w:color w:val="000000"/>
              </w:rPr>
              <w:t xml:space="preserve"> the following</w:t>
            </w:r>
            <w:r w:rsidRPr="00F66630">
              <w:rPr>
                <w:rFonts w:ascii="Times New Roman" w:eastAsia="Times New Roman" w:hAnsi="Times New Roman" w:cs="Times New Roman"/>
                <w:color w:val="000000"/>
              </w:rPr>
              <w:t xml:space="preserve"> </w:t>
            </w:r>
            <w:r w:rsidR="00C95D1A" w:rsidRPr="00F66630">
              <w:rPr>
                <w:rFonts w:ascii="Times New Roman" w:eastAsia="Times New Roman" w:hAnsi="Times New Roman" w:cs="Times New Roman"/>
                <w:color w:val="000000"/>
              </w:rPr>
              <w:t>Direc</w:t>
            </w:r>
            <w:r w:rsidR="004A2B9C" w:rsidRPr="00F66630">
              <w:rPr>
                <w:rFonts w:ascii="Times New Roman" w:eastAsia="Times New Roman" w:hAnsi="Times New Roman" w:cs="Times New Roman"/>
                <w:color w:val="000000"/>
              </w:rPr>
              <w:t>t tax, personal income tax (PAYE), licenses, levies, feed, fines, charges, sales of goods and services, earnings (excluding interest or investment income), rental income of government</w:t>
            </w:r>
            <w:r w:rsidR="00315366" w:rsidRPr="00F66630">
              <w:rPr>
                <w:rFonts w:ascii="Times New Roman" w:eastAsia="Times New Roman" w:hAnsi="Times New Roman" w:cs="Times New Roman"/>
                <w:color w:val="000000"/>
              </w:rPr>
              <w:t>al property/building</w:t>
            </w:r>
            <w:r w:rsidR="00637F9F" w:rsidRPr="00F66630">
              <w:rPr>
                <w:rFonts w:ascii="Times New Roman" w:eastAsia="Times New Roman" w:hAnsi="Times New Roman" w:cs="Times New Roman"/>
                <w:color w:val="000000"/>
              </w:rPr>
              <w:t>, and other items listed in the consolidated state revenue code</w:t>
            </w:r>
            <w:r w:rsidR="00315366" w:rsidRPr="00F66630">
              <w:rPr>
                <w:rFonts w:ascii="Times New Roman" w:eastAsia="Times New Roman" w:hAnsi="Times New Roman" w:cs="Times New Roman"/>
                <w:color w:val="000000"/>
              </w:rPr>
              <w:t xml:space="preserve">. </w:t>
            </w:r>
          </w:p>
          <w:p w14:paraId="273BEB2C" w14:textId="17996D7F" w:rsidR="0090101C" w:rsidRPr="00F66630" w:rsidRDefault="00637F9F" w:rsidP="0090101C">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IGR </w:t>
            </w:r>
            <w:r w:rsidR="00315366" w:rsidRPr="00F66630">
              <w:rPr>
                <w:rFonts w:ascii="Times New Roman" w:eastAsia="Times New Roman" w:hAnsi="Times New Roman" w:cs="Times New Roman"/>
                <w:color w:val="000000"/>
              </w:rPr>
              <w:t xml:space="preserve">includes </w:t>
            </w:r>
            <w:r w:rsidR="0090101C" w:rsidRPr="00F66630">
              <w:rPr>
                <w:rFonts w:ascii="Times New Roman" w:eastAsia="Times New Roman" w:hAnsi="Times New Roman" w:cs="Times New Roman"/>
                <w:color w:val="000000"/>
              </w:rPr>
              <w:t xml:space="preserve">all valid revenues earned through Ministries, Departments and Agencies, including any amounts retained by </w:t>
            </w:r>
            <w:r w:rsidR="0090101C" w:rsidRPr="00F66630">
              <w:rPr>
                <w:rFonts w:ascii="Times New Roman" w:eastAsia="Times New Roman" w:hAnsi="Times New Roman" w:cs="Times New Roman"/>
                <w:color w:val="000000"/>
              </w:rPr>
              <w:lastRenderedPageBreak/>
              <w:t xml:space="preserve">these MDAs toward their running costs (Retention). </w:t>
            </w:r>
          </w:p>
          <w:p w14:paraId="4123596A" w14:textId="042A0536" w:rsidR="00D3478A" w:rsidRPr="00F66630" w:rsidRDefault="00D3478A" w:rsidP="0090101C">
            <w:pPr>
              <w:rPr>
                <w:rFonts w:ascii="Times New Roman" w:eastAsia="Times New Roman" w:hAnsi="Times New Roman" w:cs="Times New Roman"/>
                <w:color w:val="000000"/>
              </w:rPr>
            </w:pPr>
          </w:p>
          <w:p w14:paraId="5B16A9F4" w14:textId="2D2A0158" w:rsidR="00D3478A" w:rsidRPr="00F66630" w:rsidRDefault="00240D3C" w:rsidP="0090101C">
            <w:pPr>
              <w:rPr>
                <w:rFonts w:ascii="Times New Roman" w:eastAsia="Times New Roman" w:hAnsi="Times New Roman" w:cs="Times New Roman"/>
                <w:color w:val="000000"/>
              </w:rPr>
            </w:pPr>
            <w:r w:rsidRPr="00F66630">
              <w:rPr>
                <w:rFonts w:ascii="Times New Roman" w:eastAsia="Times New Roman" w:hAnsi="Times New Roman" w:cs="Times New Roman"/>
                <w:color w:val="000000"/>
              </w:rPr>
              <w:t xml:space="preserve">Items which do not constitute IGR </w:t>
            </w:r>
            <w:r w:rsidR="002952FD" w:rsidRPr="00F66630">
              <w:rPr>
                <w:rFonts w:ascii="Times New Roman" w:eastAsia="Times New Roman" w:hAnsi="Times New Roman" w:cs="Times New Roman"/>
                <w:color w:val="000000"/>
              </w:rPr>
              <w:t>(this list may not exhaustive)</w:t>
            </w:r>
            <w:r w:rsidRPr="00F66630">
              <w:rPr>
                <w:rFonts w:ascii="Times New Roman" w:eastAsia="Times New Roman" w:hAnsi="Times New Roman" w:cs="Times New Roman"/>
                <w:color w:val="000000"/>
              </w:rPr>
              <w:t xml:space="preserve">: Paris Club Refund, Reimbursements from </w:t>
            </w:r>
            <w:r w:rsidR="00637F9F" w:rsidRPr="00F66630">
              <w:rPr>
                <w:rFonts w:ascii="Times New Roman" w:eastAsia="Times New Roman" w:hAnsi="Times New Roman" w:cs="Times New Roman"/>
                <w:color w:val="000000"/>
              </w:rPr>
              <w:t xml:space="preserve">Federal Government related to expenditures (e.g., </w:t>
            </w:r>
            <w:r w:rsidR="00AC0521" w:rsidRPr="00F66630">
              <w:rPr>
                <w:rFonts w:ascii="Times New Roman" w:eastAsia="Times New Roman" w:hAnsi="Times New Roman" w:cs="Times New Roman"/>
                <w:color w:val="000000"/>
              </w:rPr>
              <w:t>for federal roads), sales of government property and privatization proceeds, savings, investment income (dividends)</w:t>
            </w:r>
            <w:r w:rsidR="0008170F" w:rsidRPr="00F66630">
              <w:rPr>
                <w:rFonts w:ascii="Times New Roman" w:eastAsia="Times New Roman" w:hAnsi="Times New Roman" w:cs="Times New Roman"/>
                <w:color w:val="000000"/>
              </w:rPr>
              <w:t>, interest earned.</w:t>
            </w:r>
          </w:p>
          <w:p w14:paraId="40923C9E" w14:textId="66EDD629" w:rsidR="00972B10" w:rsidRPr="00F66630" w:rsidRDefault="00972B10" w:rsidP="00972B10">
            <w:pPr>
              <w:pStyle w:val="ListParagraph"/>
              <w:ind w:left="360"/>
              <w:rPr>
                <w:rFonts w:ascii="Times New Roman" w:eastAsia="Times New Roman" w:hAnsi="Times New Roman" w:cs="Times New Roman"/>
                <w:color w:val="000000"/>
              </w:rPr>
            </w:pPr>
          </w:p>
        </w:tc>
      </w:tr>
      <w:tr w:rsidR="00B301D1" w:rsidRPr="00F66630" w14:paraId="0BE7F97B" w14:textId="77777777" w:rsidTr="00200DFA">
        <w:tc>
          <w:tcPr>
            <w:tcW w:w="5000" w:type="pct"/>
            <w:gridSpan w:val="4"/>
            <w:shd w:val="clear" w:color="auto" w:fill="FDE9D9" w:themeFill="accent6" w:themeFillTint="33"/>
          </w:tcPr>
          <w:p w14:paraId="5365BC24" w14:textId="77777777" w:rsidR="00B301D1" w:rsidRPr="00F66630" w:rsidRDefault="00B301D1" w:rsidP="00DE4E0B">
            <w:pPr>
              <w:rPr>
                <w:rFonts w:ascii="Times New Roman" w:hAnsi="Times New Roman" w:cs="Times New Roman"/>
                <w:b/>
                <w:i/>
              </w:rPr>
            </w:pPr>
            <w:r w:rsidRPr="00F66630">
              <w:rPr>
                <w:rFonts w:ascii="Times New Roman" w:hAnsi="Times New Roman" w:cs="Times New Roman"/>
                <w:b/>
                <w:i/>
              </w:rPr>
              <w:lastRenderedPageBreak/>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2A205A" w:rsidRPr="00F66630">
              <w:rPr>
                <w:rFonts w:ascii="Times New Roman" w:hAnsi="Times New Roman" w:cs="Times New Roman"/>
                <w:b/>
                <w:i/>
              </w:rPr>
              <w:t xml:space="preserve"> (2019 APA onwards)</w:t>
            </w:r>
          </w:p>
          <w:p w14:paraId="4D7E935B" w14:textId="499E27B2" w:rsidR="00972B10" w:rsidRPr="00F66630" w:rsidRDefault="00972B10" w:rsidP="00DE4E0B">
            <w:pPr>
              <w:rPr>
                <w:rFonts w:ascii="Times New Roman" w:hAnsi="Times New Roman" w:cs="Times New Roman"/>
                <w:b/>
                <w:i/>
              </w:rPr>
            </w:pPr>
          </w:p>
        </w:tc>
      </w:tr>
      <w:tr w:rsidR="00B301D1" w:rsidRPr="00F66630" w14:paraId="18D15953" w14:textId="77777777" w:rsidTr="00200DFA">
        <w:trPr>
          <w:trHeight w:val="530"/>
        </w:trPr>
        <w:tc>
          <w:tcPr>
            <w:tcW w:w="5000" w:type="pct"/>
            <w:gridSpan w:val="4"/>
          </w:tcPr>
          <w:p w14:paraId="13C4875E" w14:textId="70C368E9" w:rsidR="000A3D39" w:rsidRPr="00F66630" w:rsidRDefault="00B301D1" w:rsidP="00DE4E0B">
            <w:pPr>
              <w:rPr>
                <w:rFonts w:ascii="Times New Roman" w:hAnsi="Times New Roman" w:cs="Times New Roman"/>
                <w:b/>
                <w:i/>
                <w:u w:val="single"/>
              </w:rPr>
            </w:pPr>
            <w:r w:rsidRPr="00F66630">
              <w:rPr>
                <w:rFonts w:ascii="Times New Roman" w:hAnsi="Times New Roman" w:cs="Times New Roman"/>
                <w:b/>
                <w:i/>
                <w:u w:val="single"/>
              </w:rPr>
              <w:t>Data Sources</w:t>
            </w:r>
          </w:p>
          <w:p w14:paraId="4A560931" w14:textId="3E8508E3" w:rsidR="006524D6" w:rsidRPr="00F66630" w:rsidRDefault="00F524BC" w:rsidP="006524D6">
            <w:pPr>
              <w:pStyle w:val="ListParagraph"/>
              <w:numPr>
                <w:ilvl w:val="0"/>
                <w:numId w:val="6"/>
              </w:numPr>
              <w:rPr>
                <w:rFonts w:ascii="Times New Roman" w:eastAsia="Times New Roman" w:hAnsi="Times New Roman" w:cs="Times New Roman"/>
                <w:b/>
                <w:bCs/>
                <w:iCs/>
              </w:rPr>
            </w:pPr>
            <w:r w:rsidRPr="00F66630">
              <w:rPr>
                <w:rFonts w:ascii="Times New Roman" w:eastAsia="Times New Roman" w:hAnsi="Times New Roman" w:cs="Times New Roman"/>
                <w:b/>
                <w:bCs/>
                <w:iCs/>
              </w:rPr>
              <w:t xml:space="preserve">The State Accountant General </w:t>
            </w:r>
            <w:r w:rsidR="00643516" w:rsidRPr="00F66630">
              <w:rPr>
                <w:rFonts w:ascii="Times New Roman" w:eastAsia="Times New Roman" w:hAnsi="Times New Roman" w:cs="Times New Roman"/>
                <w:b/>
                <w:bCs/>
                <w:iCs/>
              </w:rPr>
              <w:t>–</w:t>
            </w:r>
            <w:r w:rsidRPr="00F66630">
              <w:rPr>
                <w:rFonts w:ascii="Times New Roman" w:eastAsia="Times New Roman" w:hAnsi="Times New Roman" w:cs="Times New Roman"/>
                <w:b/>
                <w:bCs/>
                <w:iCs/>
              </w:rPr>
              <w:t xml:space="preserve"> </w:t>
            </w:r>
            <w:r w:rsidR="00440D5E" w:rsidRPr="00F66630">
              <w:rPr>
                <w:rFonts w:ascii="Times New Roman" w:eastAsia="Times New Roman" w:hAnsi="Times New Roman" w:cs="Times New Roman"/>
                <w:bCs/>
                <w:iCs/>
              </w:rPr>
              <w:t>A</w:t>
            </w:r>
            <w:r w:rsidR="00515B14" w:rsidRPr="00F66630">
              <w:rPr>
                <w:rFonts w:ascii="Times New Roman" w:eastAsia="Times New Roman" w:hAnsi="Times New Roman" w:cs="Times New Roman"/>
                <w:bCs/>
                <w:iCs/>
              </w:rPr>
              <w:t>udited Annual Financial Statements</w:t>
            </w:r>
            <w:r w:rsidRPr="00F66630">
              <w:rPr>
                <w:rFonts w:ascii="Times New Roman" w:eastAsia="Times New Roman" w:hAnsi="Times New Roman" w:cs="Times New Roman"/>
                <w:bCs/>
                <w:iCs/>
              </w:rPr>
              <w:t xml:space="preserve"> for the year under assessment. </w:t>
            </w:r>
            <w:r w:rsidR="00515B14" w:rsidRPr="00F66630">
              <w:rPr>
                <w:rFonts w:ascii="Times New Roman" w:eastAsia="Times New Roman" w:hAnsi="Times New Roman" w:cs="Times New Roman"/>
                <w:bCs/>
                <w:iCs/>
              </w:rPr>
              <w:t xml:space="preserve">This should include a </w:t>
            </w:r>
            <w:r w:rsidRPr="00F66630">
              <w:rPr>
                <w:rFonts w:ascii="Times New Roman" w:eastAsia="Times New Roman" w:hAnsi="Times New Roman" w:cs="Times New Roman"/>
                <w:bCs/>
                <w:iCs/>
              </w:rPr>
              <w:t xml:space="preserve">detailed </w:t>
            </w:r>
            <w:r w:rsidR="006524D6" w:rsidRPr="00F66630">
              <w:rPr>
                <w:rFonts w:ascii="Times New Roman" w:eastAsia="Times New Roman" w:hAnsi="Times New Roman" w:cs="Times New Roman"/>
                <w:bCs/>
                <w:iCs/>
              </w:rPr>
              <w:t xml:space="preserve">report on IGR collection </w:t>
            </w:r>
            <w:r w:rsidRPr="00F66630">
              <w:rPr>
                <w:rFonts w:ascii="Times New Roman" w:eastAsia="Times New Roman" w:hAnsi="Times New Roman" w:cs="Times New Roman"/>
                <w:bCs/>
                <w:iCs/>
              </w:rPr>
              <w:t xml:space="preserve">for the </w:t>
            </w:r>
            <w:r w:rsidR="00296A54" w:rsidRPr="00F66630">
              <w:rPr>
                <w:rFonts w:ascii="Times New Roman" w:eastAsia="Times New Roman" w:hAnsi="Times New Roman" w:cs="Times New Roman"/>
                <w:bCs/>
                <w:iCs/>
              </w:rPr>
              <w:t>full (1</w:t>
            </w:r>
            <w:r w:rsidR="00296A54" w:rsidRPr="00F66630">
              <w:rPr>
                <w:rFonts w:ascii="Times New Roman" w:eastAsia="Times New Roman" w:hAnsi="Times New Roman" w:cs="Times New Roman"/>
                <w:bCs/>
                <w:iCs/>
                <w:vertAlign w:val="superscript"/>
              </w:rPr>
              <w:t>st</w:t>
            </w:r>
            <w:r w:rsidR="00296A54" w:rsidRPr="00F66630">
              <w:rPr>
                <w:rFonts w:ascii="Times New Roman" w:eastAsia="Times New Roman" w:hAnsi="Times New Roman" w:cs="Times New Roman"/>
                <w:bCs/>
                <w:iCs/>
              </w:rPr>
              <w:t xml:space="preserve"> January to 31</w:t>
            </w:r>
            <w:r w:rsidR="00296A54" w:rsidRPr="00F66630">
              <w:rPr>
                <w:rFonts w:ascii="Times New Roman" w:eastAsia="Times New Roman" w:hAnsi="Times New Roman" w:cs="Times New Roman"/>
                <w:bCs/>
                <w:iCs/>
                <w:vertAlign w:val="superscript"/>
              </w:rPr>
              <w:t>st</w:t>
            </w:r>
            <w:r w:rsidR="00296A54" w:rsidRPr="00F66630">
              <w:rPr>
                <w:rFonts w:ascii="Times New Roman" w:eastAsia="Times New Roman" w:hAnsi="Times New Roman" w:cs="Times New Roman"/>
                <w:bCs/>
                <w:iCs/>
              </w:rPr>
              <w:t xml:space="preserve"> December) </w:t>
            </w:r>
            <w:r w:rsidRPr="00F66630">
              <w:rPr>
                <w:rFonts w:ascii="Times New Roman" w:eastAsia="Times New Roman" w:hAnsi="Times New Roman" w:cs="Times New Roman"/>
                <w:bCs/>
                <w:iCs/>
              </w:rPr>
              <w:t>year</w:t>
            </w:r>
            <w:r w:rsidR="00296A54" w:rsidRPr="00F66630">
              <w:rPr>
                <w:rFonts w:ascii="Times New Roman" w:eastAsia="Times New Roman" w:hAnsi="Times New Roman" w:cs="Times New Roman"/>
                <w:bCs/>
                <w:iCs/>
              </w:rPr>
              <w:t xml:space="preserve"> under assessment</w:t>
            </w:r>
            <w:r w:rsidRPr="00F66630">
              <w:rPr>
                <w:rFonts w:ascii="Times New Roman" w:eastAsia="Times New Roman" w:hAnsi="Times New Roman" w:cs="Times New Roman"/>
                <w:bCs/>
                <w:iCs/>
              </w:rPr>
              <w:t xml:space="preserve"> (An IGR Outturn Report)</w:t>
            </w:r>
          </w:p>
          <w:p w14:paraId="112D3076" w14:textId="4AA17116" w:rsidR="00F524BC" w:rsidRPr="00F66630" w:rsidRDefault="006524D6" w:rsidP="00F524BC">
            <w:pPr>
              <w:pStyle w:val="ListParagraph"/>
              <w:numPr>
                <w:ilvl w:val="0"/>
                <w:numId w:val="6"/>
              </w:numPr>
              <w:rPr>
                <w:rFonts w:ascii="Times New Roman" w:hAnsi="Times New Roman" w:cs="Times New Roman"/>
              </w:rPr>
            </w:pPr>
            <w:r w:rsidRPr="00F66630">
              <w:rPr>
                <w:rFonts w:ascii="Times New Roman" w:hAnsi="Times New Roman" w:cs="Times New Roman"/>
                <w:b/>
              </w:rPr>
              <w:t>State Board of Internal Revenue</w:t>
            </w:r>
            <w:r w:rsidR="00F524BC" w:rsidRPr="00F66630">
              <w:rPr>
                <w:rFonts w:ascii="Times New Roman" w:hAnsi="Times New Roman" w:cs="Times New Roman"/>
                <w:b/>
              </w:rPr>
              <w:t xml:space="preserve"> (or equivalent) -</w:t>
            </w:r>
            <w:r w:rsidR="00F524BC" w:rsidRPr="00F66630">
              <w:rPr>
                <w:rFonts w:ascii="Times New Roman" w:hAnsi="Times New Roman" w:cs="Times New Roman"/>
              </w:rPr>
              <w:t xml:space="preserve"> IGR Outturn Reports for </w:t>
            </w:r>
            <w:r w:rsidR="00296A54" w:rsidRPr="00F66630">
              <w:rPr>
                <w:rFonts w:ascii="Times New Roman" w:hAnsi="Times New Roman" w:cs="Times New Roman"/>
              </w:rPr>
              <w:t xml:space="preserve">the </w:t>
            </w:r>
            <w:r w:rsidR="00296A54" w:rsidRPr="00F66630">
              <w:rPr>
                <w:rFonts w:ascii="Times New Roman" w:eastAsia="Times New Roman" w:hAnsi="Times New Roman" w:cs="Times New Roman"/>
                <w:bCs/>
                <w:iCs/>
              </w:rPr>
              <w:t>full (1</w:t>
            </w:r>
            <w:r w:rsidR="00296A54" w:rsidRPr="00F66630">
              <w:rPr>
                <w:rFonts w:ascii="Times New Roman" w:eastAsia="Times New Roman" w:hAnsi="Times New Roman" w:cs="Times New Roman"/>
                <w:bCs/>
                <w:iCs/>
                <w:vertAlign w:val="superscript"/>
              </w:rPr>
              <w:t>st</w:t>
            </w:r>
            <w:r w:rsidR="00296A54" w:rsidRPr="00F66630">
              <w:rPr>
                <w:rFonts w:ascii="Times New Roman" w:eastAsia="Times New Roman" w:hAnsi="Times New Roman" w:cs="Times New Roman"/>
                <w:bCs/>
                <w:iCs/>
              </w:rPr>
              <w:t xml:space="preserve"> January to 31</w:t>
            </w:r>
            <w:r w:rsidR="00296A54" w:rsidRPr="00F66630">
              <w:rPr>
                <w:rFonts w:ascii="Times New Roman" w:eastAsia="Times New Roman" w:hAnsi="Times New Roman" w:cs="Times New Roman"/>
                <w:bCs/>
                <w:iCs/>
                <w:vertAlign w:val="superscript"/>
              </w:rPr>
              <w:t>st</w:t>
            </w:r>
            <w:r w:rsidR="00296A54" w:rsidRPr="00F66630">
              <w:rPr>
                <w:rFonts w:ascii="Times New Roman" w:eastAsia="Times New Roman" w:hAnsi="Times New Roman" w:cs="Times New Roman"/>
                <w:bCs/>
                <w:iCs/>
              </w:rPr>
              <w:t xml:space="preserve"> December) year under assessment</w:t>
            </w:r>
            <w:r w:rsidR="00F524BC" w:rsidRPr="00F66630">
              <w:rPr>
                <w:rFonts w:ascii="Times New Roman" w:hAnsi="Times New Roman" w:cs="Times New Roman"/>
              </w:rPr>
              <w:t>, and various Bank Account Reconciliations showing the total IGR amounts remitted into the TSA for each year under assessment</w:t>
            </w:r>
          </w:p>
          <w:p w14:paraId="69DFCBE6" w14:textId="77777777" w:rsidR="006524D6" w:rsidRPr="00F66630" w:rsidRDefault="00F524BC" w:rsidP="00213F3A">
            <w:pPr>
              <w:pStyle w:val="ListParagraph"/>
              <w:numPr>
                <w:ilvl w:val="0"/>
                <w:numId w:val="6"/>
              </w:numPr>
              <w:rPr>
                <w:rFonts w:ascii="Times New Roman" w:eastAsia="Times New Roman" w:hAnsi="Times New Roman" w:cs="Times New Roman"/>
                <w:bCs/>
                <w:iCs/>
              </w:rPr>
            </w:pPr>
            <w:r w:rsidRPr="00F66630">
              <w:rPr>
                <w:rFonts w:ascii="Times New Roman" w:eastAsia="Times New Roman" w:hAnsi="Times New Roman" w:cs="Times New Roman"/>
                <w:b/>
                <w:bCs/>
                <w:iCs/>
              </w:rPr>
              <w:t>Office of the State Auditor-General</w:t>
            </w:r>
            <w:r w:rsidRPr="00F66630" w:rsidDel="00F524BC">
              <w:rPr>
                <w:rFonts w:ascii="Times New Roman" w:hAnsi="Times New Roman" w:cs="Times New Roman"/>
              </w:rPr>
              <w:t xml:space="preserve"> </w:t>
            </w:r>
            <w:r w:rsidRPr="00F66630">
              <w:rPr>
                <w:rFonts w:ascii="Times New Roman" w:hAnsi="Times New Roman" w:cs="Times New Roman"/>
              </w:rPr>
              <w:t xml:space="preserve">- </w:t>
            </w:r>
            <w:r w:rsidR="00956768" w:rsidRPr="00F66630">
              <w:rPr>
                <w:rFonts w:ascii="Times New Roman" w:eastAsia="Times New Roman" w:hAnsi="Times New Roman" w:cs="Times New Roman"/>
                <w:bCs/>
                <w:iCs/>
              </w:rPr>
              <w:t xml:space="preserve">Published audited financial statement </w:t>
            </w:r>
            <w:r w:rsidRPr="00F66630">
              <w:rPr>
                <w:rFonts w:ascii="Times New Roman" w:eastAsia="Times New Roman" w:hAnsi="Times New Roman" w:cs="Times New Roman"/>
                <w:bCs/>
                <w:iCs/>
              </w:rPr>
              <w:t xml:space="preserve">and annual audit report </w:t>
            </w:r>
            <w:r w:rsidR="003D7F6E" w:rsidRPr="00F66630">
              <w:rPr>
                <w:rFonts w:ascii="Times New Roman" w:eastAsia="Times New Roman" w:hAnsi="Times New Roman" w:cs="Times New Roman"/>
                <w:bCs/>
                <w:iCs/>
              </w:rPr>
              <w:t xml:space="preserve">for 2017 and onwards </w:t>
            </w:r>
            <w:r w:rsidRPr="00F66630">
              <w:rPr>
                <w:rFonts w:ascii="Times New Roman" w:eastAsia="Times New Roman" w:hAnsi="Times New Roman" w:cs="Times New Roman"/>
                <w:bCs/>
                <w:iCs/>
              </w:rPr>
              <w:t xml:space="preserve">(also to be obtained </w:t>
            </w:r>
            <w:r w:rsidR="00956768" w:rsidRPr="00F66630">
              <w:rPr>
                <w:rFonts w:ascii="Times New Roman" w:eastAsia="Times New Roman" w:hAnsi="Times New Roman" w:cs="Times New Roman"/>
                <w:bCs/>
                <w:iCs/>
              </w:rPr>
              <w:t>from the State official website</w:t>
            </w:r>
            <w:r w:rsidRPr="00F66630">
              <w:rPr>
                <w:rFonts w:ascii="Times New Roman" w:eastAsia="Times New Roman" w:hAnsi="Times New Roman" w:cs="Times New Roman"/>
                <w:bCs/>
                <w:iCs/>
              </w:rPr>
              <w:t>(s)</w:t>
            </w:r>
            <w:r w:rsidR="003D7F6E" w:rsidRPr="00F66630">
              <w:rPr>
                <w:rFonts w:ascii="Times New Roman" w:eastAsia="Times New Roman" w:hAnsi="Times New Roman" w:cs="Times New Roman"/>
                <w:bCs/>
                <w:iCs/>
              </w:rPr>
              <w:t>)</w:t>
            </w:r>
            <w:r w:rsidR="00643516" w:rsidRPr="00F66630">
              <w:rPr>
                <w:rFonts w:ascii="Times New Roman" w:eastAsia="Times New Roman" w:hAnsi="Times New Roman" w:cs="Times New Roman"/>
                <w:bCs/>
                <w:iCs/>
              </w:rPr>
              <w:t xml:space="preserve">. The annual report includes an </w:t>
            </w:r>
            <w:r w:rsidR="00643516" w:rsidRPr="00F66630">
              <w:rPr>
                <w:rFonts w:ascii="Times New Roman" w:hAnsi="Times New Roman" w:cs="Times New Roman"/>
              </w:rPr>
              <w:t>audited IGR Outturn report.</w:t>
            </w:r>
          </w:p>
          <w:p w14:paraId="6B07799D" w14:textId="57D6E36E" w:rsidR="00972B10" w:rsidRPr="00F66630" w:rsidRDefault="00972B10" w:rsidP="00972B10">
            <w:pPr>
              <w:pStyle w:val="ListParagraph"/>
              <w:ind w:left="360"/>
              <w:rPr>
                <w:rFonts w:ascii="Times New Roman" w:eastAsia="Times New Roman" w:hAnsi="Times New Roman" w:cs="Times New Roman"/>
                <w:bCs/>
                <w:iCs/>
              </w:rPr>
            </w:pPr>
          </w:p>
        </w:tc>
      </w:tr>
      <w:tr w:rsidR="00886223" w:rsidRPr="00F66630" w14:paraId="1585B4A6" w14:textId="77777777" w:rsidTr="00200DFA">
        <w:trPr>
          <w:trHeight w:val="530"/>
        </w:trPr>
        <w:tc>
          <w:tcPr>
            <w:tcW w:w="5000" w:type="pct"/>
            <w:gridSpan w:val="4"/>
          </w:tcPr>
          <w:p w14:paraId="031830FC" w14:textId="384E9299" w:rsidR="00886223" w:rsidRPr="00F66630" w:rsidRDefault="00886223" w:rsidP="00395C93">
            <w:pPr>
              <w:rPr>
                <w:rFonts w:ascii="Times New Roman" w:hAnsi="Times New Roman" w:cs="Times New Roman"/>
                <w:b/>
                <w:i/>
                <w:u w:val="single"/>
              </w:rPr>
            </w:pPr>
            <w:r w:rsidRPr="00F66630">
              <w:rPr>
                <w:rFonts w:ascii="Times New Roman" w:hAnsi="Times New Roman" w:cs="Times New Roman"/>
                <w:b/>
                <w:i/>
                <w:u w:val="single"/>
              </w:rPr>
              <w:t>Procedures</w:t>
            </w:r>
          </w:p>
          <w:p w14:paraId="395AC0F0" w14:textId="77777777" w:rsidR="007545B7" w:rsidRPr="00F66630" w:rsidRDefault="007545B7" w:rsidP="00395C93">
            <w:pPr>
              <w:rPr>
                <w:rFonts w:ascii="Times New Roman" w:hAnsi="Times New Roman" w:cs="Times New Roman"/>
                <w:b/>
                <w:i/>
                <w:u w:val="single"/>
              </w:rPr>
            </w:pPr>
          </w:p>
          <w:p w14:paraId="1277EE7F" w14:textId="7A5C356D" w:rsidR="00886223" w:rsidRPr="00F66630" w:rsidRDefault="00886223" w:rsidP="00395C93">
            <w:pPr>
              <w:rPr>
                <w:rFonts w:ascii="Times New Roman" w:hAnsi="Times New Roman" w:cs="Times New Roman"/>
              </w:rPr>
            </w:pPr>
            <w:r w:rsidRPr="00F66630">
              <w:rPr>
                <w:rFonts w:ascii="Times New Roman" w:hAnsi="Times New Roman" w:cs="Times New Roman"/>
              </w:rPr>
              <w:t xml:space="preserve">The IVA will carry out the </w:t>
            </w:r>
            <w:r w:rsidR="00E56288" w:rsidRPr="00F66630">
              <w:rPr>
                <w:rFonts w:ascii="Times New Roman" w:hAnsi="Times New Roman" w:cs="Times New Roman"/>
              </w:rPr>
              <w:t>following</w:t>
            </w:r>
            <w:r w:rsidR="00972B10" w:rsidRPr="00F66630">
              <w:rPr>
                <w:rFonts w:ascii="Times New Roman" w:hAnsi="Times New Roman" w:cs="Times New Roman"/>
              </w:rPr>
              <w:t>:</w:t>
            </w:r>
          </w:p>
          <w:p w14:paraId="6D1ADCE1" w14:textId="28FAAE93" w:rsidR="00886223" w:rsidRPr="00F66630" w:rsidRDefault="00886223" w:rsidP="00E36965">
            <w:pPr>
              <w:pStyle w:val="ListParagraph"/>
              <w:numPr>
                <w:ilvl w:val="0"/>
                <w:numId w:val="16"/>
              </w:numPr>
              <w:rPr>
                <w:rFonts w:ascii="Times New Roman" w:hAnsi="Times New Roman" w:cs="Times New Roman"/>
              </w:rPr>
            </w:pPr>
            <w:r w:rsidRPr="00F66630">
              <w:rPr>
                <w:rFonts w:ascii="Times New Roman" w:hAnsi="Times New Roman" w:cs="Times New Roman"/>
              </w:rPr>
              <w:t>Obtain the following from each State:</w:t>
            </w:r>
          </w:p>
          <w:p w14:paraId="1D5E883A" w14:textId="4F3237A5" w:rsidR="00D3770A" w:rsidRPr="00F66630" w:rsidRDefault="00643516" w:rsidP="00E36965">
            <w:pPr>
              <w:pStyle w:val="ListParagraph"/>
              <w:numPr>
                <w:ilvl w:val="1"/>
                <w:numId w:val="16"/>
              </w:numPr>
              <w:rPr>
                <w:rFonts w:ascii="Times New Roman" w:hAnsi="Times New Roman" w:cs="Times New Roman"/>
              </w:rPr>
            </w:pPr>
            <w:r w:rsidRPr="00F66630">
              <w:rPr>
                <w:rFonts w:ascii="Times New Roman" w:hAnsi="Times New Roman" w:cs="Times New Roman"/>
              </w:rPr>
              <w:t>The Annual Report of the State Auditor-General and the Audited Annual Financial Statements for the State for the year under assessment.</w:t>
            </w:r>
            <w:r w:rsidR="00C130B4" w:rsidRPr="00F66630">
              <w:rPr>
                <w:rFonts w:ascii="Times New Roman" w:hAnsi="Times New Roman" w:cs="Times New Roman"/>
              </w:rPr>
              <w:t xml:space="preserve"> This should include an IGR Outturn Report for the year under assessment. The Report should show gross year-end balances for all IGR sources (before deductions for the cost collection and/or commissions payable), and detailed information on the types of IGR collected by each MDA in line with the revenue code.</w:t>
            </w:r>
          </w:p>
          <w:p w14:paraId="1F3963F7" w14:textId="77777777" w:rsidR="00232FE6" w:rsidRPr="00F66630" w:rsidRDefault="003D7F6E" w:rsidP="00232FE6">
            <w:pPr>
              <w:pStyle w:val="ListParagraph"/>
              <w:numPr>
                <w:ilvl w:val="1"/>
                <w:numId w:val="16"/>
              </w:numPr>
              <w:rPr>
                <w:rFonts w:ascii="Times New Roman" w:hAnsi="Times New Roman" w:cs="Times New Roman"/>
              </w:rPr>
            </w:pPr>
            <w:r w:rsidRPr="00F66630">
              <w:rPr>
                <w:rFonts w:ascii="Times New Roman" w:hAnsi="Times New Roman" w:cs="Times New Roman"/>
              </w:rPr>
              <w:t xml:space="preserve">The Annual Report of the State Auditor-General and the Audited Annual Financial Statements for the State for </w:t>
            </w:r>
            <w:r w:rsidR="00D3770A" w:rsidRPr="00F66630">
              <w:rPr>
                <w:rFonts w:ascii="Times New Roman" w:hAnsi="Times New Roman" w:cs="Times New Roman"/>
              </w:rPr>
              <w:t>the previous year (</w:t>
            </w:r>
            <w:proofErr w:type="gramStart"/>
            <w:r w:rsidR="00D3770A" w:rsidRPr="00F66630">
              <w:rPr>
                <w:rFonts w:ascii="Times New Roman" w:hAnsi="Times New Roman" w:cs="Times New Roman"/>
              </w:rPr>
              <w:t>previous to</w:t>
            </w:r>
            <w:proofErr w:type="gramEnd"/>
            <w:r w:rsidR="00D3770A" w:rsidRPr="00F66630">
              <w:rPr>
                <w:rFonts w:ascii="Times New Roman" w:hAnsi="Times New Roman" w:cs="Times New Roman"/>
              </w:rPr>
              <w:t xml:space="preserve"> the year under assessment)</w:t>
            </w:r>
            <w:r w:rsidRPr="00F66630">
              <w:rPr>
                <w:rFonts w:ascii="Times New Roman" w:hAnsi="Times New Roman" w:cs="Times New Roman"/>
              </w:rPr>
              <w:t>. The audited IGR Outturn reports included within the Annual Report of the State Auditor-General is expected to contain the same level of detail as the IGR Outturn reports</w:t>
            </w:r>
            <w:r w:rsidR="00D3770A" w:rsidRPr="00F66630">
              <w:rPr>
                <w:rFonts w:ascii="Times New Roman" w:hAnsi="Times New Roman" w:cs="Times New Roman"/>
              </w:rPr>
              <w:t xml:space="preserve"> for the year under assessment</w:t>
            </w:r>
            <w:r w:rsidRPr="00F66630">
              <w:rPr>
                <w:rFonts w:ascii="Times New Roman" w:hAnsi="Times New Roman" w:cs="Times New Roman"/>
              </w:rPr>
              <w:t xml:space="preserve"> to be submitted by the Accountant General. </w:t>
            </w:r>
          </w:p>
          <w:p w14:paraId="5105F4B8" w14:textId="77777777" w:rsidR="00232FE6" w:rsidRPr="00F66630" w:rsidRDefault="00886223" w:rsidP="00232FE6">
            <w:pPr>
              <w:pStyle w:val="ListParagraph"/>
              <w:numPr>
                <w:ilvl w:val="0"/>
                <w:numId w:val="16"/>
              </w:numPr>
              <w:rPr>
                <w:rFonts w:ascii="Times New Roman" w:hAnsi="Times New Roman" w:cs="Times New Roman"/>
              </w:rPr>
            </w:pPr>
            <w:r w:rsidRPr="00F66630">
              <w:rPr>
                <w:rFonts w:ascii="Times New Roman" w:hAnsi="Times New Roman" w:cs="Times New Roman"/>
              </w:rPr>
              <w:t>Review the information within the above and aggregate all IGR balances from taxes, levies, fines, fees, and charges</w:t>
            </w:r>
            <w:r w:rsidR="00555AAD" w:rsidRPr="00F66630">
              <w:rPr>
                <w:rFonts w:ascii="Times New Roman" w:hAnsi="Times New Roman" w:cs="Times New Roman"/>
              </w:rPr>
              <w:t xml:space="preserve"> </w:t>
            </w:r>
            <w:r w:rsidR="00555AAD" w:rsidRPr="00F66630">
              <w:rPr>
                <w:rFonts w:ascii="Times New Roman" w:eastAsia="Times New Roman" w:hAnsi="Times New Roman" w:cs="Times New Roman"/>
                <w:color w:val="000000"/>
              </w:rPr>
              <w:t xml:space="preserve">as defined in any or </w:t>
            </w:r>
            <w:proofErr w:type="gramStart"/>
            <w:r w:rsidR="00555AAD" w:rsidRPr="00F66630">
              <w:rPr>
                <w:rFonts w:ascii="Times New Roman" w:eastAsia="Times New Roman" w:hAnsi="Times New Roman" w:cs="Times New Roman"/>
                <w:color w:val="000000"/>
              </w:rPr>
              <w:t>all of</w:t>
            </w:r>
            <w:proofErr w:type="gramEnd"/>
            <w:r w:rsidR="00555AAD" w:rsidRPr="00F66630">
              <w:rPr>
                <w:rFonts w:ascii="Times New Roman" w:eastAsia="Times New Roman" w:hAnsi="Times New Roman" w:cs="Times New Roman"/>
                <w:color w:val="000000"/>
              </w:rPr>
              <w:t xml:space="preserve"> the codes passed by the relevant legislative bodies</w:t>
            </w:r>
            <w:r w:rsidR="00F524BC" w:rsidRPr="00F66630">
              <w:rPr>
                <w:rFonts w:ascii="Times New Roman" w:eastAsia="Times New Roman" w:hAnsi="Times New Roman" w:cs="Times New Roman"/>
                <w:color w:val="000000"/>
              </w:rPr>
              <w:t>.</w:t>
            </w:r>
            <w:r w:rsidRPr="00F66630">
              <w:rPr>
                <w:rFonts w:ascii="Times New Roman" w:hAnsi="Times New Roman" w:cs="Times New Roman"/>
              </w:rPr>
              <w:t xml:space="preserve"> Exclude all irregular IGR sources and any </w:t>
            </w:r>
            <w:r w:rsidR="00E85292" w:rsidRPr="00F66630">
              <w:rPr>
                <w:rFonts w:ascii="Times New Roman" w:hAnsi="Times New Roman" w:cs="Times New Roman"/>
              </w:rPr>
              <w:t xml:space="preserve">inflows </w:t>
            </w:r>
            <w:r w:rsidRPr="00F66630">
              <w:rPr>
                <w:rFonts w:ascii="Times New Roman" w:hAnsi="Times New Roman" w:cs="Times New Roman"/>
              </w:rPr>
              <w:t>from financing or savings items.</w:t>
            </w:r>
            <w:r w:rsidR="001319E5" w:rsidRPr="00F66630">
              <w:rPr>
                <w:rFonts w:ascii="Times New Roman" w:hAnsi="Times New Roman" w:cs="Times New Roman"/>
              </w:rPr>
              <w:t xml:space="preserve"> </w:t>
            </w:r>
            <w:r w:rsidR="00C461D3" w:rsidRPr="00F66630">
              <w:rPr>
                <w:rFonts w:ascii="Times New Roman" w:hAnsi="Times New Roman" w:cs="Times New Roman"/>
              </w:rPr>
              <w:t>Conduct</w:t>
            </w:r>
            <w:r w:rsidR="001319E5" w:rsidRPr="00F66630">
              <w:rPr>
                <w:rFonts w:ascii="Times New Roman" w:hAnsi="Times New Roman" w:cs="Times New Roman"/>
              </w:rPr>
              <w:t xml:space="preserve"> the </w:t>
            </w:r>
            <w:r w:rsidR="00C461D3" w:rsidRPr="00F66630">
              <w:rPr>
                <w:rFonts w:ascii="Times New Roman" w:hAnsi="Times New Roman" w:cs="Times New Roman"/>
              </w:rPr>
              <w:t xml:space="preserve">IGR growth calculation </w:t>
            </w:r>
            <w:r w:rsidR="006617A6" w:rsidRPr="00F66630">
              <w:rPr>
                <w:rFonts w:ascii="Times New Roman" w:hAnsi="Times New Roman" w:cs="Times New Roman"/>
              </w:rPr>
              <w:t xml:space="preserve">and present in the </w:t>
            </w:r>
            <w:r w:rsidR="00232FE6" w:rsidRPr="00F66630">
              <w:rPr>
                <w:rFonts w:ascii="Times New Roman" w:hAnsi="Times New Roman" w:cs="Times New Roman"/>
              </w:rPr>
              <w:t xml:space="preserve">following </w:t>
            </w:r>
            <w:r w:rsidR="00C461D3" w:rsidRPr="00F66630">
              <w:rPr>
                <w:rFonts w:ascii="Times New Roman" w:hAnsi="Times New Roman" w:cs="Times New Roman"/>
              </w:rPr>
              <w:t>table:</w:t>
            </w:r>
          </w:p>
          <w:p w14:paraId="6C8A207E" w14:textId="77777777" w:rsidR="00232FE6" w:rsidRPr="00F66630" w:rsidRDefault="00232FE6" w:rsidP="00232FE6">
            <w:pPr>
              <w:pStyle w:val="ListParagraph"/>
              <w:numPr>
                <w:ilvl w:val="0"/>
                <w:numId w:val="16"/>
              </w:numPr>
              <w:rPr>
                <w:rFonts w:ascii="Times New Roman" w:hAnsi="Times New Roman" w:cs="Times New Roman"/>
              </w:rPr>
            </w:pPr>
            <w:r w:rsidRPr="00F66630">
              <w:rPr>
                <w:rFonts w:ascii="Times New Roman" w:hAnsi="Times New Roman" w:cs="Times New Roman"/>
              </w:rPr>
              <w:t>Conduct further tests to validate the IGR outturn figures for the year under assessment provided by the State. This will include field visits to conduct reviews of the following information</w:t>
            </w:r>
          </w:p>
          <w:p w14:paraId="0A0D5FF6" w14:textId="77777777" w:rsidR="00232FE6" w:rsidRPr="00F66630" w:rsidRDefault="00232FE6" w:rsidP="00232FE6">
            <w:pPr>
              <w:pStyle w:val="ListParagraph"/>
              <w:numPr>
                <w:ilvl w:val="1"/>
                <w:numId w:val="16"/>
              </w:numPr>
              <w:rPr>
                <w:rFonts w:ascii="Times New Roman" w:hAnsi="Times New Roman" w:cs="Times New Roman"/>
              </w:rPr>
            </w:pPr>
            <w:r w:rsidRPr="00F66630">
              <w:rPr>
                <w:rFonts w:ascii="Times New Roman" w:hAnsi="Times New Roman" w:cs="Times New Roman"/>
              </w:rPr>
              <w:t>From the State Board of Internal Revenue - IGR Outturn Report for the year under assessment. The Report should show year-end balances for all IGR sources.</w:t>
            </w:r>
          </w:p>
          <w:p w14:paraId="3E272048" w14:textId="77777777" w:rsidR="00232FE6" w:rsidRPr="00F66630" w:rsidRDefault="00232FE6" w:rsidP="00232FE6">
            <w:pPr>
              <w:pStyle w:val="ListParagraph"/>
              <w:numPr>
                <w:ilvl w:val="1"/>
                <w:numId w:val="16"/>
              </w:numPr>
              <w:rPr>
                <w:rFonts w:ascii="Times New Roman" w:hAnsi="Times New Roman" w:cs="Times New Roman"/>
              </w:rPr>
            </w:pPr>
            <w:r w:rsidRPr="00F66630">
              <w:rPr>
                <w:rFonts w:ascii="Times New Roman" w:hAnsi="Times New Roman" w:cs="Times New Roman"/>
              </w:rPr>
              <w:t>Bank Account Reconciliations of the State Board of Internal Revenue (or equivalent) showing the total IGR amounts remitted into the TSA for the year under assessment.</w:t>
            </w:r>
          </w:p>
          <w:p w14:paraId="7E0E41AB" w14:textId="77777777" w:rsidR="00232FE6" w:rsidRPr="00F66630" w:rsidRDefault="00232FE6" w:rsidP="00232FE6">
            <w:pPr>
              <w:pStyle w:val="ListParagraph"/>
              <w:numPr>
                <w:ilvl w:val="0"/>
                <w:numId w:val="16"/>
              </w:numPr>
              <w:rPr>
                <w:rFonts w:ascii="Times New Roman" w:hAnsi="Times New Roman" w:cs="Times New Roman"/>
              </w:rPr>
            </w:pPr>
            <w:r w:rsidRPr="00F66630">
              <w:rPr>
                <w:rFonts w:ascii="Times New Roman" w:hAnsi="Times New Roman" w:cs="Times New Roman"/>
              </w:rPr>
              <w:lastRenderedPageBreak/>
              <w:t>Compare the balances for the year under assessment obtained from the information sources above and confirm whether any differences are significant or material. For balances with a wide differential the IVA will conduct further enquiries to ascertain the more accurate balances upon which the APA should be based.</w:t>
            </w:r>
          </w:p>
          <w:p w14:paraId="04C15B56" w14:textId="03FA4352" w:rsidR="00886223" w:rsidRPr="00F66630" w:rsidRDefault="00232FE6" w:rsidP="00232FE6">
            <w:pPr>
              <w:pStyle w:val="ListParagraph"/>
              <w:numPr>
                <w:ilvl w:val="0"/>
                <w:numId w:val="16"/>
              </w:numPr>
              <w:rPr>
                <w:rFonts w:ascii="Times New Roman" w:hAnsi="Times New Roman" w:cs="Times New Roman"/>
              </w:rPr>
            </w:pPr>
            <w:r w:rsidRPr="00F66630">
              <w:rPr>
                <w:rFonts w:ascii="Times New Roman" w:hAnsi="Times New Roman" w:cs="Times New Roman"/>
              </w:rPr>
              <w:t xml:space="preserve">Calculate the annual nominal growth rate of the State IGR and express as a percentage. </w:t>
            </w:r>
            <w:r w:rsidR="00C461D3" w:rsidRPr="00F66630">
              <w:rPr>
                <w:rFonts w:ascii="Times New Roman" w:hAnsi="Times New Roman" w:cs="Times New Roman"/>
              </w:rPr>
              <w:t xml:space="preserve"> </w:t>
            </w:r>
          </w:p>
          <w:p w14:paraId="6ACAA416" w14:textId="77777777" w:rsidR="00200DFA" w:rsidRPr="00F66630" w:rsidRDefault="00200DFA" w:rsidP="00200DFA">
            <w:pPr>
              <w:pStyle w:val="ListParagraph"/>
              <w:rPr>
                <w:rFonts w:ascii="Times New Roman" w:hAnsi="Times New Roman" w:cs="Times New Roman"/>
              </w:rPr>
            </w:pPr>
          </w:p>
          <w:p w14:paraId="30E99EF5" w14:textId="7C081273" w:rsidR="00355AEC" w:rsidRPr="00F66630" w:rsidRDefault="00200DFA" w:rsidP="00232FE6">
            <w:pPr>
              <w:jc w:val="center"/>
              <w:rPr>
                <w:rFonts w:ascii="Times New Roman" w:hAnsi="Times New Roman" w:cs="Times New Roman"/>
              </w:rPr>
            </w:pPr>
            <w:r w:rsidRPr="00F66630">
              <w:rPr>
                <w:noProof/>
              </w:rPr>
              <w:drawing>
                <wp:inline distT="0" distB="0" distL="0" distR="0" wp14:anchorId="5CB8CB73" wp14:editId="083A838C">
                  <wp:extent cx="8475980" cy="4095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482124" cy="4098719"/>
                          </a:xfrm>
                          <a:prstGeom prst="rect">
                            <a:avLst/>
                          </a:prstGeom>
                        </pic:spPr>
                      </pic:pic>
                    </a:graphicData>
                  </a:graphic>
                </wp:inline>
              </w:drawing>
            </w:r>
          </w:p>
          <w:p w14:paraId="70CE131C" w14:textId="151AFAF6" w:rsidR="00355AEC" w:rsidRPr="00F66630" w:rsidRDefault="00355AEC" w:rsidP="005A405B">
            <w:pPr>
              <w:rPr>
                <w:rFonts w:ascii="Times New Roman" w:hAnsi="Times New Roman" w:cs="Times New Roman"/>
              </w:rPr>
            </w:pPr>
          </w:p>
          <w:p w14:paraId="77947627" w14:textId="1AB4D8D1" w:rsidR="00886223" w:rsidRPr="00F66630" w:rsidRDefault="00886223" w:rsidP="00232FE6">
            <w:pPr>
              <w:pStyle w:val="ListParagraph"/>
            </w:pPr>
            <w:r w:rsidRPr="00F66630">
              <w:rPr>
                <w:rFonts w:ascii="Times New Roman" w:hAnsi="Times New Roman" w:cs="Times New Roman"/>
              </w:rPr>
              <w:t xml:space="preserve"> </w:t>
            </w:r>
          </w:p>
        </w:tc>
      </w:tr>
      <w:tr w:rsidR="00EA2EA3" w:rsidRPr="00F66630" w14:paraId="5D9A57D8" w14:textId="77777777" w:rsidTr="00200DFA">
        <w:trPr>
          <w:gridAfter w:val="1"/>
          <w:wAfter w:w="58" w:type="pct"/>
          <w:trHeight w:val="305"/>
        </w:trPr>
        <w:tc>
          <w:tcPr>
            <w:tcW w:w="4942" w:type="pct"/>
            <w:gridSpan w:val="3"/>
            <w:shd w:val="clear" w:color="auto" w:fill="EAF1DD" w:themeFill="accent3" w:themeFillTint="33"/>
          </w:tcPr>
          <w:p w14:paraId="7007281A" w14:textId="7D8D9668" w:rsidR="00EA2EA3" w:rsidRPr="00F66630" w:rsidRDefault="00EA2EA3" w:rsidP="00871362">
            <w:pPr>
              <w:pStyle w:val="Heading3"/>
              <w:numPr>
                <w:ilvl w:val="0"/>
                <w:numId w:val="0"/>
              </w:numPr>
              <w:outlineLvl w:val="2"/>
              <w:rPr>
                <w:rFonts w:cs="Times New Roman"/>
                <w:b w:val="0"/>
                <w:bCs w:val="0"/>
                <w:color w:val="000000"/>
              </w:rPr>
            </w:pPr>
            <w:r w:rsidRPr="00F66630">
              <w:lastRenderedPageBreak/>
              <w:br w:type="page"/>
            </w:r>
            <w:r w:rsidR="00BB1303" w:rsidRPr="00F66630">
              <w:rPr>
                <w:sz w:val="22"/>
                <w:szCs w:val="22"/>
              </w:rPr>
              <w:br w:type="page"/>
            </w:r>
            <w:bookmarkStart w:id="26" w:name="_Toc107345851"/>
            <w:r w:rsidR="00BB1303" w:rsidRPr="00F66630">
              <w:rPr>
                <w:sz w:val="22"/>
                <w:szCs w:val="22"/>
              </w:rPr>
              <w:t xml:space="preserve">ORIGINAL </w:t>
            </w:r>
            <w:r w:rsidRPr="00F66630">
              <w:rPr>
                <w:rFonts w:ascii="Times New Roman Bold" w:eastAsia="Calibri" w:hAnsi="Times New Roman Bold"/>
                <w:sz w:val="22"/>
                <w:szCs w:val="22"/>
              </w:rPr>
              <w:t>DLI 5: Biometric registration and bank verification number (BVN) used to reduce payroll fraud</w:t>
            </w:r>
            <w:bookmarkEnd w:id="26"/>
          </w:p>
        </w:tc>
      </w:tr>
      <w:tr w:rsidR="00EA2EA3" w:rsidRPr="00F66630" w14:paraId="37EDE4D7" w14:textId="77777777" w:rsidTr="00200DFA">
        <w:trPr>
          <w:gridAfter w:val="1"/>
          <w:wAfter w:w="58" w:type="pct"/>
          <w:trHeight w:val="470"/>
        </w:trPr>
        <w:tc>
          <w:tcPr>
            <w:tcW w:w="1129" w:type="pct"/>
            <w:gridSpan w:val="2"/>
            <w:shd w:val="clear" w:color="auto" w:fill="FDE9D9" w:themeFill="accent6" w:themeFillTint="33"/>
          </w:tcPr>
          <w:p w14:paraId="0528D09D" w14:textId="77777777" w:rsidR="00EA2EA3" w:rsidRPr="00F66630" w:rsidRDefault="00EA2EA3" w:rsidP="00871362">
            <w:pPr>
              <w:rPr>
                <w:rFonts w:ascii="Times New Roman" w:hAnsi="Times New Roman" w:cs="Times New Roman"/>
                <w:b/>
                <w:i/>
              </w:rPr>
            </w:pPr>
            <w:r w:rsidRPr="00F66630">
              <w:rPr>
                <w:rFonts w:ascii="Times New Roman" w:hAnsi="Times New Roman" w:cs="Times New Roman"/>
                <w:b/>
                <w:i/>
              </w:rPr>
              <w:t xml:space="preserve">DLR description as per DLI </w:t>
            </w:r>
            <w:r w:rsidRPr="00F66630">
              <w:rPr>
                <w:rFonts w:ascii="Times New Roman" w:hAnsi="Times New Roman" w:cs="Times New Roman"/>
                <w:b/>
                <w:i/>
              </w:rPr>
              <w:lastRenderedPageBreak/>
              <w:t>Matrix</w:t>
            </w:r>
          </w:p>
        </w:tc>
        <w:tc>
          <w:tcPr>
            <w:tcW w:w="3813" w:type="pct"/>
            <w:shd w:val="clear" w:color="auto" w:fill="FDE9D9" w:themeFill="accent6" w:themeFillTint="33"/>
          </w:tcPr>
          <w:p w14:paraId="09D7D408" w14:textId="77777777" w:rsidR="00EA2EA3" w:rsidRPr="00F66630" w:rsidRDefault="00EA2EA3" w:rsidP="00871362">
            <w:pPr>
              <w:pStyle w:val="NoSpacing"/>
              <w:rPr>
                <w:rFonts w:ascii="Times New Roman" w:hAnsi="Times New Roman" w:cs="Times New Roman"/>
                <w:b/>
                <w:i/>
              </w:rPr>
            </w:pPr>
            <w:r w:rsidRPr="00F66630">
              <w:rPr>
                <w:rFonts w:ascii="Times New Roman" w:hAnsi="Times New Roman" w:cs="Times New Roman"/>
                <w:b/>
                <w:i/>
              </w:rPr>
              <w:lastRenderedPageBreak/>
              <w:t>Definition/Description of DLR achievement</w:t>
            </w:r>
          </w:p>
        </w:tc>
      </w:tr>
      <w:tr w:rsidR="00EA2EA3" w:rsidRPr="00F66630" w14:paraId="060BB895" w14:textId="77777777" w:rsidTr="00200DFA">
        <w:trPr>
          <w:gridAfter w:val="1"/>
          <w:wAfter w:w="58" w:type="pct"/>
        </w:trPr>
        <w:tc>
          <w:tcPr>
            <w:tcW w:w="1129" w:type="pct"/>
            <w:gridSpan w:val="2"/>
          </w:tcPr>
          <w:p w14:paraId="3C70CCD8" w14:textId="1C62F551" w:rsidR="00EA2EA3" w:rsidRPr="00F66630" w:rsidRDefault="00EA2EA3" w:rsidP="00871362">
            <w:pPr>
              <w:spacing w:after="120"/>
              <w:rPr>
                <w:rFonts w:ascii="Times New Roman" w:hAnsi="Times New Roman" w:cs="Times New Roman"/>
                <w:b/>
                <w:bCs/>
              </w:rPr>
            </w:pPr>
            <w:r w:rsidRPr="00F66630">
              <w:rPr>
                <w:rFonts w:ascii="Times New Roman" w:hAnsi="Times New Roman" w:cs="Times New Roman"/>
                <w:b/>
                <w:bCs/>
              </w:rPr>
              <w:t xml:space="preserve">5.1 Biometric capture of at least [x] percent of current civil servants [and pensioners] completed and linked to payroll, and identified ghost workers taken off the payroll </w:t>
            </w:r>
          </w:p>
          <w:p w14:paraId="1B69E17F" w14:textId="77777777" w:rsidR="00232FE6" w:rsidRPr="00F66630" w:rsidRDefault="00232FE6" w:rsidP="00871362">
            <w:pPr>
              <w:spacing w:after="120"/>
              <w:rPr>
                <w:rFonts w:ascii="Times New Roman" w:hAnsi="Times New Roman" w:cs="Times New Roman"/>
                <w:b/>
                <w:bCs/>
              </w:rPr>
            </w:pPr>
          </w:p>
          <w:p w14:paraId="1FA63083" w14:textId="7832E7C3" w:rsidR="00EA2EA3" w:rsidRPr="00F66630" w:rsidRDefault="00EA2EA3" w:rsidP="00871362">
            <w:pPr>
              <w:spacing w:after="120"/>
              <w:rPr>
                <w:rFonts w:ascii="Times New Roman" w:eastAsia="Times New Roman" w:hAnsi="Times New Roman" w:cs="Times New Roman"/>
                <w:b/>
                <w:bCs/>
                <w:i/>
                <w:iCs/>
                <w:color w:val="000000"/>
              </w:rPr>
            </w:pPr>
            <w:r w:rsidRPr="00F66630">
              <w:rPr>
                <w:rFonts w:ascii="Times New Roman" w:hAnsi="Times New Roman" w:cs="Times New Roman"/>
                <w:b/>
                <w:bCs/>
              </w:rPr>
              <w:t>5.2 Link BVN data to at least [x] percent of current civil servants [and pensioners] on the payroll and payroll fraud addressed</w:t>
            </w:r>
          </w:p>
        </w:tc>
        <w:tc>
          <w:tcPr>
            <w:tcW w:w="3813" w:type="pct"/>
          </w:tcPr>
          <w:p w14:paraId="46C0BDED" w14:textId="77777777" w:rsidR="008604A7" w:rsidRPr="00F66630" w:rsidRDefault="008604A7" w:rsidP="008604A7">
            <w:pPr>
              <w:rPr>
                <w:rFonts w:ascii="Times New Roman" w:hAnsi="Times New Roman" w:cs="Times New Roman"/>
              </w:rPr>
            </w:pPr>
            <w:r w:rsidRPr="00F66630">
              <w:rPr>
                <w:rFonts w:ascii="Times New Roman" w:hAnsi="Times New Roman" w:cs="Times New Roman"/>
              </w:rPr>
              <w:t xml:space="preserve">To achieve the DLR, the following criteria has to be met by the </w:t>
            </w:r>
            <w:proofErr w:type="gramStart"/>
            <w:r w:rsidRPr="00F66630">
              <w:rPr>
                <w:rFonts w:ascii="Times New Roman" w:hAnsi="Times New Roman" w:cs="Times New Roman"/>
              </w:rPr>
              <w:t>31st</w:t>
            </w:r>
            <w:proofErr w:type="gramEnd"/>
            <w:r w:rsidRPr="00F66630">
              <w:rPr>
                <w:rFonts w:ascii="Times New Roman" w:hAnsi="Times New Roman" w:cs="Times New Roman"/>
              </w:rPr>
              <w:t xml:space="preserve"> December of the year under assessment to count for that year: </w:t>
            </w:r>
          </w:p>
          <w:p w14:paraId="39B7DAC3" w14:textId="77777777" w:rsidR="00972B10" w:rsidRPr="00F66630" w:rsidRDefault="00972B10" w:rsidP="00871362">
            <w:pPr>
              <w:rPr>
                <w:rFonts w:ascii="Times New Roman" w:hAnsi="Times New Roman" w:cs="Times New Roman"/>
              </w:rPr>
            </w:pPr>
          </w:p>
          <w:p w14:paraId="0C40A924" w14:textId="71F997C2" w:rsidR="00EA2EA3" w:rsidRPr="00F66630" w:rsidRDefault="00EA2EA3" w:rsidP="00871362">
            <w:pPr>
              <w:rPr>
                <w:rFonts w:ascii="Times New Roman" w:hAnsi="Times New Roman" w:cs="Times New Roman"/>
              </w:rPr>
            </w:pPr>
            <w:r w:rsidRPr="00F66630">
              <w:rPr>
                <w:rFonts w:ascii="Times New Roman" w:hAnsi="Times New Roman" w:cs="Times New Roman"/>
              </w:rPr>
              <w:t xml:space="preserve">5.1 Use of </w:t>
            </w:r>
            <w:r w:rsidR="004D7BA5" w:rsidRPr="00F66630">
              <w:rPr>
                <w:rFonts w:cstheme="minorHAnsi"/>
                <w:color w:val="262626"/>
              </w:rPr>
              <w:t>biometric</w:t>
            </w:r>
            <w:r w:rsidR="004D7BA5" w:rsidRPr="00F66630">
              <w:rPr>
                <w:rFonts w:ascii="Times New Roman" w:hAnsi="Times New Roman" w:cs="Times New Roman"/>
              </w:rPr>
              <w:t xml:space="preserve"> </w:t>
            </w:r>
            <w:r w:rsidRPr="00F66630">
              <w:rPr>
                <w:rFonts w:ascii="Times New Roman" w:hAnsi="Times New Roman" w:cs="Times New Roman"/>
              </w:rPr>
              <w:t xml:space="preserve">to reduce payroll fraud is defined as a state having: i) completed a biometric exercise for a percentage (as defined for each of the Program years in the DLI Matrix) of the current (defined as in the same calendar year) civil servants and pensioners on the state payroll; ii) linked the biometrics data to the state payroll to identify ghost workers; iii) removed confirmed ghost workers and ghost pensioners within three (3) months of each case being confirmed. </w:t>
            </w:r>
          </w:p>
          <w:p w14:paraId="6911B3C8" w14:textId="77777777" w:rsidR="00972B10" w:rsidRPr="00F66630" w:rsidRDefault="00972B10" w:rsidP="00871362">
            <w:pPr>
              <w:rPr>
                <w:rFonts w:ascii="Times New Roman" w:hAnsi="Times New Roman" w:cs="Times New Roman"/>
              </w:rPr>
            </w:pPr>
          </w:p>
          <w:p w14:paraId="2D148A76" w14:textId="69D80717" w:rsidR="00972B10" w:rsidRPr="00F66630" w:rsidRDefault="00EA2EA3" w:rsidP="00871362">
            <w:pPr>
              <w:rPr>
                <w:rFonts w:ascii="Times New Roman" w:hAnsi="Times New Roman" w:cs="Times New Roman"/>
              </w:rPr>
            </w:pPr>
            <w:r w:rsidRPr="00F66630">
              <w:rPr>
                <w:rFonts w:ascii="Times New Roman" w:hAnsi="Times New Roman" w:cs="Times New Roman"/>
              </w:rPr>
              <w:t xml:space="preserve">5.2 is defined as a state having: i) linked bank verification number data to a percentage (as defined for each of the Program years in the DLI Matrix) of its current (defined as in the same calendar year) civil servants and pensioners on the state payroll; ii) taken steps to identify payroll fraud; iii) removed confirmed ghost workers and ghost pensioners within three (3) months of each case being confirmed. </w:t>
            </w:r>
          </w:p>
          <w:p w14:paraId="1F94E881" w14:textId="2EA86CF7" w:rsidR="00D50776" w:rsidRPr="00F66630" w:rsidRDefault="00D50776" w:rsidP="00871362">
            <w:pPr>
              <w:rPr>
                <w:rFonts w:ascii="Times New Roman" w:hAnsi="Times New Roman" w:cs="Times New Roman"/>
              </w:rPr>
            </w:pPr>
          </w:p>
          <w:p w14:paraId="0E68F9E1" w14:textId="21EA67DD" w:rsidR="00D50776" w:rsidRPr="00F66630" w:rsidRDefault="00D50776" w:rsidP="00A97485">
            <w:pPr>
              <w:pStyle w:val="CommentText"/>
              <w:rPr>
                <w:rFonts w:ascii="Times New Roman" w:hAnsi="Times New Roman" w:cs="Times New Roman"/>
                <w:i/>
                <w:iCs/>
                <w:sz w:val="22"/>
                <w:szCs w:val="22"/>
              </w:rPr>
            </w:pPr>
            <w:r w:rsidRPr="00F66630">
              <w:rPr>
                <w:rFonts w:ascii="Times New Roman" w:hAnsi="Times New Roman" w:cs="Times New Roman"/>
                <w:sz w:val="22"/>
                <w:szCs w:val="22"/>
              </w:rPr>
              <w:t>State payroll is defined as</w:t>
            </w:r>
            <w:r w:rsidR="00A97485" w:rsidRPr="00F66630">
              <w:rPr>
                <w:rFonts w:ascii="Times New Roman" w:hAnsi="Times New Roman" w:cs="Times New Roman"/>
                <w:sz w:val="22"/>
                <w:szCs w:val="22"/>
              </w:rPr>
              <w:t xml:space="preserve"> the payroll run by the State Accountant General</w:t>
            </w:r>
            <w:r w:rsidR="0062635A" w:rsidRPr="00F66630">
              <w:rPr>
                <w:rFonts w:ascii="Times New Roman" w:hAnsi="Times New Roman" w:cs="Times New Roman"/>
                <w:sz w:val="22"/>
                <w:szCs w:val="22"/>
              </w:rPr>
              <w:t xml:space="preserve"> in that State</w:t>
            </w:r>
            <w:r w:rsidR="00A97485" w:rsidRPr="00F66630">
              <w:rPr>
                <w:rFonts w:ascii="Times New Roman" w:hAnsi="Times New Roman" w:cs="Times New Roman"/>
                <w:sz w:val="22"/>
                <w:szCs w:val="22"/>
              </w:rPr>
              <w:t xml:space="preserve">. </w:t>
            </w:r>
            <w:r w:rsidR="00A97485" w:rsidRPr="00F66630">
              <w:rPr>
                <w:rFonts w:ascii="Times New Roman" w:hAnsi="Times New Roman" w:cs="Times New Roman"/>
                <w:i/>
                <w:iCs/>
                <w:sz w:val="22"/>
                <w:szCs w:val="22"/>
              </w:rPr>
              <w:t>Note that LGAs are now receiving their funds in a separate account and would likely be running their payroll separately. Same for parastatals that run their own payroll.</w:t>
            </w:r>
          </w:p>
          <w:p w14:paraId="10A0DB5A" w14:textId="11A61F89" w:rsidR="00FD3950" w:rsidRPr="00F66630" w:rsidRDefault="00FD3950" w:rsidP="00871362">
            <w:pPr>
              <w:rPr>
                <w:rFonts w:ascii="Times New Roman" w:hAnsi="Times New Roman" w:cs="Times New Roman"/>
              </w:rPr>
            </w:pPr>
          </w:p>
        </w:tc>
      </w:tr>
      <w:tr w:rsidR="00EA2EA3" w:rsidRPr="00F66630" w14:paraId="56D0BC0B" w14:textId="77777777" w:rsidTr="00200DFA">
        <w:trPr>
          <w:gridAfter w:val="1"/>
          <w:wAfter w:w="58" w:type="pct"/>
        </w:trPr>
        <w:tc>
          <w:tcPr>
            <w:tcW w:w="4942" w:type="pct"/>
            <w:gridSpan w:val="3"/>
            <w:shd w:val="clear" w:color="auto" w:fill="FDE9D9" w:themeFill="accent6" w:themeFillTint="33"/>
          </w:tcPr>
          <w:p w14:paraId="3C48F5A0" w14:textId="77777777" w:rsidR="00EA2EA3" w:rsidRPr="00F66630" w:rsidRDefault="00EA2EA3" w:rsidP="00871362">
            <w:pPr>
              <w:rPr>
                <w:rFonts w:ascii="Times New Roman" w:hAnsi="Times New Roman" w:cs="Times New Roman"/>
                <w:b/>
                <w:i/>
              </w:rPr>
            </w:pPr>
            <w:r w:rsidRPr="00F66630">
              <w:rPr>
                <w:rFonts w:ascii="Times New Roman" w:hAnsi="Times New Roman" w:cs="Times New Roman"/>
                <w:b/>
                <w:i/>
              </w:rPr>
              <w:t>Data Source and Procedures to assess achievement</w:t>
            </w:r>
            <w:r w:rsidR="002A205A" w:rsidRPr="00F66630">
              <w:rPr>
                <w:rFonts w:ascii="Times New Roman" w:hAnsi="Times New Roman" w:cs="Times New Roman"/>
                <w:b/>
                <w:i/>
              </w:rPr>
              <w:t xml:space="preserve"> (2019 APA onwards)</w:t>
            </w:r>
          </w:p>
          <w:p w14:paraId="0AB4D80A" w14:textId="748F6600" w:rsidR="00972B10" w:rsidRPr="00F66630" w:rsidRDefault="00972B10" w:rsidP="00871362">
            <w:pPr>
              <w:rPr>
                <w:rFonts w:ascii="Times New Roman" w:hAnsi="Times New Roman" w:cs="Times New Roman"/>
                <w:b/>
                <w:i/>
              </w:rPr>
            </w:pPr>
          </w:p>
        </w:tc>
      </w:tr>
      <w:tr w:rsidR="00EA2EA3" w:rsidRPr="00F66630" w14:paraId="0F1820E4" w14:textId="77777777" w:rsidTr="00200DFA">
        <w:trPr>
          <w:gridAfter w:val="1"/>
          <w:wAfter w:w="58" w:type="pct"/>
          <w:trHeight w:val="368"/>
        </w:trPr>
        <w:tc>
          <w:tcPr>
            <w:tcW w:w="4942" w:type="pct"/>
            <w:gridSpan w:val="3"/>
          </w:tcPr>
          <w:p w14:paraId="20CAC59E" w14:textId="77777777" w:rsidR="00EA2EA3" w:rsidRPr="00F66630" w:rsidRDefault="00EA2EA3" w:rsidP="00871362">
            <w:pPr>
              <w:rPr>
                <w:rFonts w:ascii="Times New Roman" w:hAnsi="Times New Roman" w:cs="Times New Roman"/>
                <w:b/>
                <w:i/>
                <w:u w:val="single"/>
              </w:rPr>
            </w:pPr>
            <w:r w:rsidRPr="00F66630">
              <w:rPr>
                <w:rFonts w:ascii="Times New Roman" w:hAnsi="Times New Roman" w:cs="Times New Roman"/>
                <w:b/>
                <w:i/>
                <w:u w:val="single"/>
              </w:rPr>
              <w:t>Data Sources</w:t>
            </w:r>
          </w:p>
          <w:p w14:paraId="1E0C0D27" w14:textId="77777777" w:rsidR="00EA2EA3" w:rsidRPr="00F66630" w:rsidRDefault="00EA2EA3" w:rsidP="00E36965">
            <w:pPr>
              <w:pStyle w:val="ListParagraph"/>
              <w:numPr>
                <w:ilvl w:val="0"/>
                <w:numId w:val="19"/>
              </w:numPr>
              <w:rPr>
                <w:rFonts w:ascii="Times New Roman" w:eastAsia="Times New Roman" w:hAnsi="Times New Roman" w:cs="Times New Roman"/>
                <w:bCs/>
              </w:rPr>
            </w:pPr>
            <w:r w:rsidRPr="00F66630">
              <w:rPr>
                <w:rFonts w:ascii="Times New Roman" w:eastAsia="Times New Roman" w:hAnsi="Times New Roman" w:cs="Times New Roman"/>
                <w:b/>
                <w:bCs/>
                <w:iCs/>
              </w:rPr>
              <w:t>State Payroll service provider or relevant MDA -</w:t>
            </w:r>
            <w:r w:rsidRPr="00F66630">
              <w:rPr>
                <w:rFonts w:ascii="Times New Roman" w:eastAsia="Times New Roman" w:hAnsi="Times New Roman" w:cs="Times New Roman"/>
                <w:bCs/>
                <w:iCs/>
              </w:rPr>
              <w:t xml:space="preserve"> </w:t>
            </w:r>
            <w:r w:rsidRPr="00F66630">
              <w:rPr>
                <w:rFonts w:ascii="Times New Roman" w:eastAsia="Times New Roman" w:hAnsi="Times New Roman" w:cs="Times New Roman"/>
                <w:bCs/>
              </w:rPr>
              <w:t xml:space="preserve">for payroll scripts and biometric database </w:t>
            </w:r>
          </w:p>
          <w:p w14:paraId="4F6140F9" w14:textId="77777777" w:rsidR="00EA2EA3" w:rsidRPr="00F66630" w:rsidRDefault="00EA2EA3" w:rsidP="00E36965">
            <w:pPr>
              <w:pStyle w:val="ListParagraph"/>
              <w:numPr>
                <w:ilvl w:val="0"/>
                <w:numId w:val="19"/>
              </w:numPr>
              <w:rPr>
                <w:rFonts w:ascii="Times New Roman" w:eastAsia="Times New Roman" w:hAnsi="Times New Roman" w:cs="Times New Roman"/>
                <w:bCs/>
              </w:rPr>
            </w:pPr>
            <w:r w:rsidRPr="00F66630">
              <w:rPr>
                <w:rFonts w:ascii="Times New Roman" w:eastAsia="Times New Roman" w:hAnsi="Times New Roman" w:cs="Times New Roman"/>
                <w:b/>
                <w:bCs/>
              </w:rPr>
              <w:t>State Biometric database manager</w:t>
            </w:r>
            <w:r w:rsidRPr="00F66630">
              <w:rPr>
                <w:rFonts w:ascii="Times New Roman" w:eastAsia="Times New Roman" w:hAnsi="Times New Roman" w:cs="Times New Roman"/>
                <w:bCs/>
              </w:rPr>
              <w:t xml:space="preserve"> - for the biometric database and register</w:t>
            </w:r>
          </w:p>
          <w:p w14:paraId="6D444B6F" w14:textId="77777777" w:rsidR="00EA2EA3" w:rsidRPr="00F66630" w:rsidRDefault="00EA2EA3" w:rsidP="00E36965">
            <w:pPr>
              <w:pStyle w:val="ListParagraph"/>
              <w:numPr>
                <w:ilvl w:val="0"/>
                <w:numId w:val="19"/>
              </w:numPr>
              <w:rPr>
                <w:rFonts w:ascii="Times New Roman" w:hAnsi="Times New Roman" w:cs="Times New Roman"/>
              </w:rPr>
            </w:pPr>
            <w:r w:rsidRPr="00F66630">
              <w:rPr>
                <w:rFonts w:ascii="Times New Roman" w:eastAsia="Times New Roman" w:hAnsi="Times New Roman" w:cs="Times New Roman"/>
                <w:b/>
                <w:bCs/>
              </w:rPr>
              <w:t>Office of the State Accountant General –</w:t>
            </w:r>
            <w:r w:rsidRPr="00F66630">
              <w:rPr>
                <w:rFonts w:ascii="Times New Roman" w:eastAsia="Times New Roman" w:hAnsi="Times New Roman" w:cs="Times New Roman"/>
                <w:bCs/>
              </w:rPr>
              <w:t xml:space="preserve"> for annual or periodic reports of ghost workers and payroll fraud identified and the financial savings achieved</w:t>
            </w:r>
          </w:p>
          <w:p w14:paraId="4D81FEC8" w14:textId="5603DD0E" w:rsidR="00972B10" w:rsidRPr="00F66630" w:rsidRDefault="00972B10" w:rsidP="00972B10">
            <w:pPr>
              <w:pStyle w:val="ListParagraph"/>
              <w:rPr>
                <w:rFonts w:ascii="Times New Roman" w:hAnsi="Times New Roman" w:cs="Times New Roman"/>
              </w:rPr>
            </w:pPr>
          </w:p>
        </w:tc>
      </w:tr>
      <w:tr w:rsidR="00EA2EA3" w:rsidRPr="00F66630" w14:paraId="4890CD68" w14:textId="77777777" w:rsidTr="00200DFA">
        <w:trPr>
          <w:gridAfter w:val="1"/>
          <w:wAfter w:w="58" w:type="pct"/>
          <w:trHeight w:val="368"/>
        </w:trPr>
        <w:tc>
          <w:tcPr>
            <w:tcW w:w="4942" w:type="pct"/>
            <w:gridSpan w:val="3"/>
          </w:tcPr>
          <w:p w14:paraId="2BB28353" w14:textId="700EC9FF" w:rsidR="00EA2EA3" w:rsidRPr="00F66630" w:rsidRDefault="00EA2EA3" w:rsidP="00871362">
            <w:pPr>
              <w:rPr>
                <w:rFonts w:ascii="Times New Roman" w:hAnsi="Times New Roman" w:cs="Times New Roman"/>
                <w:b/>
                <w:i/>
                <w:u w:val="single"/>
              </w:rPr>
            </w:pPr>
            <w:r w:rsidRPr="00F66630">
              <w:rPr>
                <w:rFonts w:ascii="Times New Roman" w:hAnsi="Times New Roman" w:cs="Times New Roman"/>
                <w:b/>
                <w:i/>
                <w:u w:val="single"/>
              </w:rPr>
              <w:t>Procedures</w:t>
            </w:r>
          </w:p>
          <w:p w14:paraId="02683267" w14:textId="77777777" w:rsidR="00972B10" w:rsidRPr="00F66630" w:rsidRDefault="00972B10" w:rsidP="00871362">
            <w:pPr>
              <w:rPr>
                <w:rFonts w:ascii="Times New Roman" w:hAnsi="Times New Roman" w:cs="Times New Roman"/>
                <w:b/>
                <w:i/>
                <w:u w:val="single"/>
              </w:rPr>
            </w:pPr>
          </w:p>
          <w:p w14:paraId="0AD904CB" w14:textId="47148C74" w:rsidR="00EA2EA3" w:rsidRPr="00F66630" w:rsidRDefault="00EA2EA3" w:rsidP="00871362">
            <w:pPr>
              <w:rPr>
                <w:rFonts w:ascii="Times New Roman" w:hAnsi="Times New Roman" w:cs="Times New Roman"/>
              </w:rPr>
            </w:pPr>
            <w:r w:rsidRPr="00F66630">
              <w:rPr>
                <w:rFonts w:ascii="Times New Roman" w:hAnsi="Times New Roman" w:cs="Times New Roman"/>
              </w:rPr>
              <w:t>The IVA will carry out the following</w:t>
            </w:r>
            <w:r w:rsidR="003E6AB1" w:rsidRPr="00F66630">
              <w:rPr>
                <w:rFonts w:ascii="Times New Roman" w:hAnsi="Times New Roman" w:cs="Times New Roman"/>
              </w:rPr>
              <w:t>:</w:t>
            </w:r>
          </w:p>
          <w:p w14:paraId="4299A0B6" w14:textId="77777777"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Obtain the following from each State:</w:t>
            </w:r>
          </w:p>
          <w:p w14:paraId="1AB72C1A"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A copy of the nominal roll for all state civil servants (sighted but not retained for security reasons)</w:t>
            </w:r>
          </w:p>
          <w:p w14:paraId="0023ADF4"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A copy of the nominal roll for all state pensioners (sighted but not retained for security reasons)</w:t>
            </w:r>
          </w:p>
          <w:p w14:paraId="73D50835"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A report from the State Biometric database on the number of persons registered</w:t>
            </w:r>
          </w:p>
          <w:p w14:paraId="4EA8DDA7"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 xml:space="preserve">A report from the State Payroll on the number of civil servants and pensioners for which biometric data or BVN numbers are linked to </w:t>
            </w:r>
            <w:r w:rsidRPr="00F66630">
              <w:rPr>
                <w:rFonts w:ascii="Times New Roman" w:hAnsi="Times New Roman" w:cs="Times New Roman"/>
              </w:rPr>
              <w:lastRenderedPageBreak/>
              <w:t>payroll</w:t>
            </w:r>
          </w:p>
          <w:p w14:paraId="3F4C3665" w14:textId="77777777"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Discuss with the State progress made with the implementation of a biometric register for civil servants and pensioners. Determine whether the State has a separate biometric register or relies on BVNs.</w:t>
            </w:r>
          </w:p>
          <w:p w14:paraId="69CF9BA7" w14:textId="3B7E1245"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Obtain and review copies of documentation</w:t>
            </w:r>
            <w:r w:rsidR="00302C43" w:rsidRPr="00F66630">
              <w:rPr>
                <w:rFonts w:ascii="Times New Roman" w:hAnsi="Times New Roman" w:cs="Times New Roman"/>
              </w:rPr>
              <w:t xml:space="preserve"> and </w:t>
            </w:r>
            <w:r w:rsidRPr="00F66630">
              <w:rPr>
                <w:rFonts w:ascii="Times New Roman" w:hAnsi="Times New Roman" w:cs="Times New Roman"/>
              </w:rPr>
              <w:t xml:space="preserve">reports on progress made with the implementation of biometric validation. </w:t>
            </w:r>
          </w:p>
          <w:p w14:paraId="5C934323" w14:textId="5F821475"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Summarize the progress presented by the State and record the position presented by the State for the following</w:t>
            </w:r>
            <w:r w:rsidR="003E6AB1" w:rsidRPr="00F66630">
              <w:rPr>
                <w:rFonts w:ascii="Times New Roman" w:hAnsi="Times New Roman" w:cs="Times New Roman"/>
              </w:rPr>
              <w:t>:</w:t>
            </w:r>
          </w:p>
          <w:p w14:paraId="18837E05" w14:textId="507E0550" w:rsidR="00EA2EA3" w:rsidRPr="00F66630" w:rsidRDefault="007073F6" w:rsidP="00E36965">
            <w:pPr>
              <w:pStyle w:val="ListParagraph"/>
              <w:numPr>
                <w:ilvl w:val="1"/>
                <w:numId w:val="17"/>
              </w:numPr>
              <w:rPr>
                <w:rFonts w:ascii="Times New Roman" w:hAnsi="Times New Roman" w:cs="Times New Roman"/>
              </w:rPr>
            </w:pPr>
            <w:r w:rsidRPr="00F66630">
              <w:rPr>
                <w:rFonts w:ascii="Times New Roman" w:hAnsi="Times New Roman" w:cs="Times New Roman"/>
              </w:rPr>
              <w:t>T</w:t>
            </w:r>
            <w:r w:rsidR="00EA2EA3" w:rsidRPr="00F66630">
              <w:rPr>
                <w:rFonts w:ascii="Times New Roman" w:hAnsi="Times New Roman" w:cs="Times New Roman"/>
              </w:rPr>
              <w:t xml:space="preserve">he percentage of the target population covered by biometric registration, </w:t>
            </w:r>
          </w:p>
          <w:p w14:paraId="0786334D" w14:textId="0D9EA6B5" w:rsidR="00EA2EA3" w:rsidRPr="00F66630" w:rsidRDefault="007073F6" w:rsidP="00E36965">
            <w:pPr>
              <w:pStyle w:val="ListParagraph"/>
              <w:numPr>
                <w:ilvl w:val="1"/>
                <w:numId w:val="17"/>
              </w:numPr>
              <w:rPr>
                <w:rFonts w:ascii="Times New Roman" w:hAnsi="Times New Roman" w:cs="Times New Roman"/>
              </w:rPr>
            </w:pPr>
            <w:r w:rsidRPr="00F66630">
              <w:rPr>
                <w:rFonts w:ascii="Times New Roman" w:hAnsi="Times New Roman" w:cs="Times New Roman"/>
              </w:rPr>
              <w:t>T</w:t>
            </w:r>
            <w:r w:rsidR="00EA2EA3" w:rsidRPr="00F66630">
              <w:rPr>
                <w:rFonts w:ascii="Times New Roman" w:hAnsi="Times New Roman" w:cs="Times New Roman"/>
              </w:rPr>
              <w:t xml:space="preserve">he number and percentage of staff and pensioners for which biometric data or BVN has been linked to payroll, </w:t>
            </w:r>
          </w:p>
          <w:p w14:paraId="05B6C0CB" w14:textId="1A6E1CA9" w:rsidR="001D68E9" w:rsidRPr="00F66630" w:rsidRDefault="007073F6" w:rsidP="00E36965">
            <w:pPr>
              <w:pStyle w:val="ListParagraph"/>
              <w:numPr>
                <w:ilvl w:val="1"/>
                <w:numId w:val="17"/>
              </w:numPr>
              <w:rPr>
                <w:rFonts w:ascii="Times New Roman" w:hAnsi="Times New Roman" w:cs="Times New Roman"/>
              </w:rPr>
            </w:pPr>
            <w:r w:rsidRPr="00F66630">
              <w:rPr>
                <w:rFonts w:ascii="Times New Roman" w:hAnsi="Times New Roman" w:cs="Times New Roman"/>
              </w:rPr>
              <w:t>W</w:t>
            </w:r>
            <w:r w:rsidR="001D68E9" w:rsidRPr="00F66630">
              <w:rPr>
                <w:rFonts w:ascii="Times New Roman" w:hAnsi="Times New Roman" w:cs="Times New Roman"/>
              </w:rPr>
              <w:t>hether in-year changes to the civil servant and pensioner payrolls (</w:t>
            </w:r>
            <w:proofErr w:type="gramStart"/>
            <w:r w:rsidR="001D68E9" w:rsidRPr="00F66630">
              <w:rPr>
                <w:rFonts w:ascii="Times New Roman" w:hAnsi="Times New Roman" w:cs="Times New Roman"/>
              </w:rPr>
              <w:t>as a result of</w:t>
            </w:r>
            <w:proofErr w:type="gramEnd"/>
            <w:r w:rsidR="001D68E9" w:rsidRPr="00F66630">
              <w:rPr>
                <w:rFonts w:ascii="Times New Roman" w:hAnsi="Times New Roman" w:cs="Times New Roman"/>
              </w:rPr>
              <w:t xml:space="preserve"> starters, leavers, deaths etc.) are captured by the biometric exercise.</w:t>
            </w:r>
          </w:p>
          <w:p w14:paraId="21FAE72B" w14:textId="0D4E4DFF" w:rsidR="001D68E9" w:rsidRPr="00F66630" w:rsidRDefault="007073F6" w:rsidP="00E36965">
            <w:pPr>
              <w:pStyle w:val="ListParagraph"/>
              <w:numPr>
                <w:ilvl w:val="1"/>
                <w:numId w:val="17"/>
              </w:numPr>
              <w:rPr>
                <w:rFonts w:ascii="Times New Roman" w:hAnsi="Times New Roman" w:cs="Times New Roman"/>
              </w:rPr>
            </w:pPr>
            <w:r w:rsidRPr="00F66630">
              <w:rPr>
                <w:rFonts w:ascii="Times New Roman" w:hAnsi="Times New Roman" w:cs="Times New Roman"/>
              </w:rPr>
              <w:t>P</w:t>
            </w:r>
            <w:r w:rsidR="00077F1C" w:rsidRPr="00F66630">
              <w:rPr>
                <w:rFonts w:ascii="Times New Roman" w:hAnsi="Times New Roman" w:cs="Times New Roman"/>
              </w:rPr>
              <w:t xml:space="preserve">rocedures in place for ensuring timely (within 3 months of the event) updates to the payroll to reflect </w:t>
            </w:r>
            <w:r w:rsidR="001D68E9" w:rsidRPr="00F66630">
              <w:rPr>
                <w:rFonts w:ascii="Times New Roman" w:hAnsi="Times New Roman" w:cs="Times New Roman"/>
              </w:rPr>
              <w:t xml:space="preserve">leavers, </w:t>
            </w:r>
            <w:proofErr w:type="gramStart"/>
            <w:r w:rsidR="001D68E9" w:rsidRPr="00F66630">
              <w:rPr>
                <w:rFonts w:ascii="Times New Roman" w:hAnsi="Times New Roman" w:cs="Times New Roman"/>
              </w:rPr>
              <w:t>retirees</w:t>
            </w:r>
            <w:proofErr w:type="gramEnd"/>
            <w:r w:rsidR="001D68E9" w:rsidRPr="00F66630">
              <w:rPr>
                <w:rFonts w:ascii="Times New Roman" w:hAnsi="Times New Roman" w:cs="Times New Roman"/>
              </w:rPr>
              <w:t xml:space="preserve"> and deaths. </w:t>
            </w:r>
          </w:p>
          <w:p w14:paraId="426ACE44" w14:textId="478D751B"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actions taken to remove ghost workers, including the numbers of workers removed and the timeliness of the removals.</w:t>
            </w:r>
          </w:p>
          <w:p w14:paraId="1677D083" w14:textId="6E2A1AE0"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Obtain the following corroborative evidence and compare with the position presented by the State</w:t>
            </w:r>
            <w:r w:rsidR="003E6AB1" w:rsidRPr="00F66630">
              <w:rPr>
                <w:rFonts w:ascii="Times New Roman" w:hAnsi="Times New Roman" w:cs="Times New Roman"/>
              </w:rPr>
              <w:t>:</w:t>
            </w:r>
          </w:p>
          <w:p w14:paraId="0D86E1D9"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Copies of payroll reports/scripts obtained directly from the systems administrator or database manager, showing the total population on the payroll and the total payroll population with biometric/BVN data.</w:t>
            </w:r>
          </w:p>
          <w:p w14:paraId="0A92F46A"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Copies of relevant biometric data base reports/scripts obtained directly from the systems administrator showing the total number of civil servants and pensioners on the register.</w:t>
            </w:r>
          </w:p>
          <w:p w14:paraId="42B72AEC"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A record of all ghost workers identified during the year under assessment, including the dates they were identified and the date they were removed from the payroll.</w:t>
            </w:r>
          </w:p>
          <w:p w14:paraId="07F68438" w14:textId="77777777" w:rsidR="00EA2EA3" w:rsidRPr="00F66630" w:rsidRDefault="00EA2EA3" w:rsidP="00E36965">
            <w:pPr>
              <w:pStyle w:val="ListParagraph"/>
              <w:numPr>
                <w:ilvl w:val="0"/>
                <w:numId w:val="17"/>
              </w:numPr>
              <w:rPr>
                <w:rFonts w:ascii="Times New Roman" w:hAnsi="Times New Roman" w:cs="Times New Roman"/>
              </w:rPr>
            </w:pPr>
            <w:r w:rsidRPr="00F66630">
              <w:rPr>
                <w:rFonts w:ascii="Times New Roman" w:hAnsi="Times New Roman" w:cs="Times New Roman"/>
              </w:rPr>
              <w:t>Conduct the following tests:</w:t>
            </w:r>
          </w:p>
          <w:p w14:paraId="173AFBB6"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 xml:space="preserve">Select a sample of 20 staff and 20 pensioners at random from the total population on the payroll </w:t>
            </w:r>
            <w:proofErr w:type="gramStart"/>
            <w:r w:rsidRPr="00F66630">
              <w:rPr>
                <w:rFonts w:ascii="Times New Roman" w:hAnsi="Times New Roman" w:cs="Times New Roman"/>
              </w:rPr>
              <w:t>and also</w:t>
            </w:r>
            <w:proofErr w:type="gramEnd"/>
            <w:r w:rsidRPr="00F66630">
              <w:rPr>
                <w:rFonts w:ascii="Times New Roman" w:hAnsi="Times New Roman" w:cs="Times New Roman"/>
              </w:rPr>
              <w:t xml:space="preserve"> from the total payroll population with biometric / BVN data. Examine the records held for all sampled items and confirm they are as expected.</w:t>
            </w:r>
          </w:p>
          <w:p w14:paraId="4CD744C4" w14:textId="77777777" w:rsidR="00EA2EA3"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Select a sample of 20 staff and 20 pensioners at random from the State biometric database. Examine that biometric data and other records are held for all sampled items as expected.</w:t>
            </w:r>
          </w:p>
          <w:p w14:paraId="24CAD737" w14:textId="77777777" w:rsidR="003D647E" w:rsidRPr="00F66630" w:rsidRDefault="00EA2EA3" w:rsidP="00E36965">
            <w:pPr>
              <w:pStyle w:val="ListParagraph"/>
              <w:numPr>
                <w:ilvl w:val="1"/>
                <w:numId w:val="17"/>
              </w:numPr>
              <w:rPr>
                <w:rFonts w:ascii="Times New Roman" w:hAnsi="Times New Roman" w:cs="Times New Roman"/>
              </w:rPr>
            </w:pPr>
            <w:r w:rsidRPr="00F66630">
              <w:rPr>
                <w:rFonts w:ascii="Times New Roman" w:hAnsi="Times New Roman" w:cs="Times New Roman"/>
              </w:rPr>
              <w:t xml:space="preserve">Select a sample of 40 ghost workers and ghost pensioners from the reports provided and confirm whether their payments were stopped within three (3) months of being confirmed as ghosts. </w:t>
            </w:r>
          </w:p>
          <w:p w14:paraId="3F9D0555" w14:textId="1F1DCD42" w:rsidR="00EA2EA3" w:rsidRPr="00F66630" w:rsidRDefault="00EA2EA3" w:rsidP="00E36965">
            <w:pPr>
              <w:pStyle w:val="ListParagraph"/>
              <w:numPr>
                <w:ilvl w:val="0"/>
                <w:numId w:val="17"/>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Calculate the percentage of civil servants and pensioners for which Biometric / BVN data has been linked to payroll. The relevant annual targets are as follows (2019: 75% (</w:t>
            </w:r>
            <w:r w:rsidR="002A205A" w:rsidRPr="00F66630">
              <w:rPr>
                <w:rFonts w:ascii="Times New Roman" w:eastAsia="Times New Roman" w:hAnsi="Times New Roman" w:cs="Times New Roman"/>
                <w:bCs/>
                <w:color w:val="000000"/>
              </w:rPr>
              <w:t xml:space="preserve">current </w:t>
            </w:r>
            <w:r w:rsidRPr="00F66630">
              <w:rPr>
                <w:rFonts w:ascii="Times New Roman" w:eastAsia="Times New Roman" w:hAnsi="Times New Roman" w:cs="Times New Roman"/>
                <w:bCs/>
                <w:color w:val="000000"/>
              </w:rPr>
              <w:t>civil servants and pensioners), 2020: 90% (</w:t>
            </w:r>
            <w:r w:rsidR="002A205A" w:rsidRPr="00F66630">
              <w:rPr>
                <w:rFonts w:ascii="Times New Roman" w:eastAsia="Times New Roman" w:hAnsi="Times New Roman" w:cs="Times New Roman"/>
                <w:bCs/>
                <w:color w:val="000000"/>
              </w:rPr>
              <w:t xml:space="preserve">current </w:t>
            </w:r>
            <w:r w:rsidRPr="00F66630">
              <w:rPr>
                <w:rFonts w:ascii="Times New Roman" w:eastAsia="Times New Roman" w:hAnsi="Times New Roman" w:cs="Times New Roman"/>
                <w:bCs/>
                <w:color w:val="000000"/>
              </w:rPr>
              <w:t xml:space="preserve">civil servants and pensioners), 2021: </w:t>
            </w:r>
            <w:r w:rsidR="000C35BE" w:rsidRPr="00F66630">
              <w:rPr>
                <w:rFonts w:ascii="Times New Roman" w:eastAsia="Times New Roman" w:hAnsi="Times New Roman" w:cs="Times New Roman"/>
                <w:bCs/>
                <w:color w:val="000000"/>
              </w:rPr>
              <w:t>95</w:t>
            </w:r>
            <w:r w:rsidRPr="00F66630">
              <w:rPr>
                <w:rFonts w:ascii="Times New Roman" w:eastAsia="Times New Roman" w:hAnsi="Times New Roman" w:cs="Times New Roman"/>
                <w:bCs/>
                <w:color w:val="000000"/>
              </w:rPr>
              <w:t>% (</w:t>
            </w:r>
            <w:r w:rsidR="002A205A" w:rsidRPr="00F66630">
              <w:rPr>
                <w:rFonts w:ascii="Times New Roman" w:eastAsia="Times New Roman" w:hAnsi="Times New Roman" w:cs="Times New Roman"/>
                <w:bCs/>
                <w:color w:val="000000"/>
              </w:rPr>
              <w:t xml:space="preserve">current </w:t>
            </w:r>
            <w:r w:rsidRPr="00F66630">
              <w:rPr>
                <w:rFonts w:ascii="Times New Roman" w:eastAsia="Times New Roman" w:hAnsi="Times New Roman" w:cs="Times New Roman"/>
                <w:bCs/>
                <w:color w:val="000000"/>
              </w:rPr>
              <w:t>civil servants and pensioners)).</w:t>
            </w:r>
          </w:p>
          <w:p w14:paraId="5B7592E2" w14:textId="72624925" w:rsidR="00972B10" w:rsidRPr="00F66630" w:rsidRDefault="00972B10" w:rsidP="00972B10">
            <w:pPr>
              <w:pStyle w:val="ListParagraph"/>
              <w:rPr>
                <w:rFonts w:ascii="Times New Roman" w:eastAsia="Times New Roman" w:hAnsi="Times New Roman" w:cs="Times New Roman"/>
                <w:bCs/>
                <w:color w:val="000000"/>
              </w:rPr>
            </w:pPr>
          </w:p>
        </w:tc>
      </w:tr>
    </w:tbl>
    <w:p w14:paraId="5F07D518" w14:textId="05E26639" w:rsidR="00EA2EA3" w:rsidRPr="00F66630" w:rsidRDefault="00EA2EA3"/>
    <w:p w14:paraId="7EF69B83" w14:textId="77777777" w:rsidR="00FD3950" w:rsidRPr="00F66630" w:rsidRDefault="00FD3950">
      <w:r w:rsidRPr="00F66630">
        <w:rPr>
          <w:b/>
          <w:bCs/>
        </w:rPr>
        <w:br w:type="page"/>
      </w:r>
    </w:p>
    <w:tbl>
      <w:tblPr>
        <w:tblStyle w:val="TableGrid"/>
        <w:tblW w:w="5315" w:type="pct"/>
        <w:tblLook w:val="04A0" w:firstRow="1" w:lastRow="0" w:firstColumn="1" w:lastColumn="0" w:noHBand="0" w:noVBand="1"/>
      </w:tblPr>
      <w:tblGrid>
        <w:gridCol w:w="3326"/>
        <w:gridCol w:w="10440"/>
      </w:tblGrid>
      <w:tr w:rsidR="00886223" w:rsidRPr="00F66630" w14:paraId="363EABC9" w14:textId="77777777" w:rsidTr="00321CAE">
        <w:trPr>
          <w:trHeight w:val="368"/>
        </w:trPr>
        <w:tc>
          <w:tcPr>
            <w:tcW w:w="5000" w:type="pct"/>
            <w:gridSpan w:val="2"/>
            <w:shd w:val="clear" w:color="auto" w:fill="EAF1DD" w:themeFill="accent3" w:themeFillTint="33"/>
          </w:tcPr>
          <w:p w14:paraId="70D1A89E" w14:textId="0810937B" w:rsidR="00886223" w:rsidRPr="00F66630" w:rsidRDefault="00BB1303" w:rsidP="00213F3A">
            <w:pPr>
              <w:pStyle w:val="Heading3"/>
              <w:numPr>
                <w:ilvl w:val="0"/>
                <w:numId w:val="0"/>
              </w:numPr>
              <w:outlineLvl w:val="2"/>
              <w:rPr>
                <w:rFonts w:cs="Times New Roman"/>
              </w:rPr>
            </w:pPr>
            <w:r w:rsidRPr="00F66630">
              <w:rPr>
                <w:sz w:val="22"/>
                <w:szCs w:val="22"/>
              </w:rPr>
              <w:lastRenderedPageBreak/>
              <w:br w:type="page"/>
            </w:r>
            <w:bookmarkStart w:id="27" w:name="_Toc107345852"/>
            <w:r w:rsidRPr="00F66630">
              <w:rPr>
                <w:sz w:val="22"/>
                <w:szCs w:val="22"/>
              </w:rPr>
              <w:t xml:space="preserve">ORIGINAL </w:t>
            </w:r>
            <w:r w:rsidR="00886223" w:rsidRPr="00F66630">
              <w:rPr>
                <w:rFonts w:ascii="Times New Roman Bold" w:eastAsia="Calibri" w:hAnsi="Times New Roman Bold"/>
                <w:sz w:val="22"/>
                <w:szCs w:val="22"/>
              </w:rPr>
              <w:t>DLI 6: Improved procurement practices for increased transparency and value</w:t>
            </w:r>
            <w:r w:rsidR="00213F3A" w:rsidRPr="00F66630">
              <w:rPr>
                <w:rFonts w:ascii="Times New Roman Bold" w:eastAsia="Calibri" w:hAnsi="Times New Roman Bold"/>
                <w:sz w:val="22"/>
                <w:szCs w:val="22"/>
              </w:rPr>
              <w:t xml:space="preserve"> for money</w:t>
            </w:r>
            <w:bookmarkEnd w:id="27"/>
          </w:p>
        </w:tc>
      </w:tr>
      <w:tr w:rsidR="007D562A" w:rsidRPr="00F66630" w14:paraId="41D97E62" w14:textId="77777777" w:rsidTr="00AF01BD">
        <w:trPr>
          <w:trHeight w:val="470"/>
        </w:trPr>
        <w:tc>
          <w:tcPr>
            <w:tcW w:w="1208" w:type="pct"/>
            <w:shd w:val="clear" w:color="auto" w:fill="FDE9D9" w:themeFill="accent6" w:themeFillTint="33"/>
          </w:tcPr>
          <w:p w14:paraId="1A1FA662" w14:textId="618851ED" w:rsidR="007D562A" w:rsidRPr="00F66630" w:rsidRDefault="001A0310" w:rsidP="00DE4E0B">
            <w:pPr>
              <w:rPr>
                <w:rFonts w:ascii="Times New Roman" w:hAnsi="Times New Roman" w:cs="Times New Roman"/>
                <w:b/>
                <w:i/>
              </w:rPr>
            </w:pPr>
            <w:r w:rsidRPr="00F66630">
              <w:rPr>
                <w:rFonts w:ascii="Times New Roman" w:hAnsi="Times New Roman" w:cs="Times New Roman"/>
                <w:b/>
                <w:i/>
              </w:rPr>
              <w:t>DLR description as per DLI Matrix</w:t>
            </w:r>
          </w:p>
        </w:tc>
        <w:tc>
          <w:tcPr>
            <w:tcW w:w="3792" w:type="pct"/>
            <w:shd w:val="clear" w:color="auto" w:fill="FDE9D9" w:themeFill="accent6" w:themeFillTint="33"/>
          </w:tcPr>
          <w:p w14:paraId="4B3EC35C" w14:textId="77777777" w:rsidR="007D562A" w:rsidRPr="00F66630" w:rsidRDefault="007D562A" w:rsidP="00DE4E0B">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86223" w:rsidRPr="00F66630" w14:paraId="42EF8B0F" w14:textId="77777777" w:rsidTr="00AF01BD">
        <w:tc>
          <w:tcPr>
            <w:tcW w:w="1208" w:type="pct"/>
          </w:tcPr>
          <w:p w14:paraId="09DAD4C0" w14:textId="3C58A8EE" w:rsidR="00886223" w:rsidRPr="00F66630" w:rsidRDefault="00886223" w:rsidP="00395C93">
            <w:pPr>
              <w:rPr>
                <w:rFonts w:ascii="Times New Roman" w:eastAsia="Times New Roman" w:hAnsi="Times New Roman" w:cs="Times New Roman"/>
                <w:b/>
                <w:bCs/>
                <w:color w:val="000000"/>
              </w:rPr>
            </w:pPr>
            <w:r w:rsidRPr="00F66630">
              <w:rPr>
                <w:rFonts w:ascii="Times New Roman" w:eastAsia="Times New Roman" w:hAnsi="Times New Roman" w:cs="Times New Roman"/>
                <w:b/>
                <w:bCs/>
                <w:color w:val="000000"/>
              </w:rPr>
              <w:t xml:space="preserve">6.1 Existence of a public procurement legal framework and a procurement regulatory agency. Said legal framework should conform with the UNCITRAL Model Law and provide for: 1) eProcurement; 2) establishment of an independent procurement </w:t>
            </w:r>
            <w:r w:rsidR="00847654" w:rsidRPr="00F66630">
              <w:rPr>
                <w:rFonts w:ascii="Times New Roman" w:eastAsia="Times New Roman" w:hAnsi="Times New Roman" w:cs="Times New Roman"/>
                <w:b/>
                <w:bCs/>
                <w:color w:val="000000"/>
              </w:rPr>
              <w:t xml:space="preserve">agency </w:t>
            </w:r>
            <w:r w:rsidRPr="00F66630">
              <w:rPr>
                <w:rFonts w:ascii="Times New Roman" w:eastAsia="Times New Roman" w:hAnsi="Times New Roman" w:cs="Times New Roman"/>
                <w:b/>
                <w:bCs/>
                <w:color w:val="000000"/>
              </w:rPr>
              <w:t>and 3) cover all MDAs receiving funds from the state budget</w:t>
            </w:r>
            <w:r w:rsidR="002E4836" w:rsidRPr="00F66630">
              <w:rPr>
                <w:rFonts w:ascii="Times New Roman" w:eastAsia="Times New Roman" w:hAnsi="Times New Roman" w:cs="Times New Roman"/>
                <w:b/>
                <w:bCs/>
                <w:color w:val="000000"/>
              </w:rPr>
              <w:t xml:space="preserve">. </w:t>
            </w:r>
            <w:r w:rsidR="002E4836" w:rsidRPr="00F66630">
              <w:rPr>
                <w:rFonts w:ascii="Times New Roman" w:hAnsi="Times New Roman"/>
                <w:b/>
                <w:bCs/>
                <w:i/>
              </w:rPr>
              <w:t xml:space="preserve">(one-time payment for year in which DLR is first achieved, up to </w:t>
            </w:r>
            <w:r w:rsidR="009A7B9A" w:rsidRPr="00F66630">
              <w:rPr>
                <w:rFonts w:ascii="Times New Roman" w:hAnsi="Times New Roman"/>
                <w:b/>
                <w:bCs/>
                <w:i/>
              </w:rPr>
              <w:t xml:space="preserve">end of </w:t>
            </w:r>
            <w:r w:rsidR="002E4836" w:rsidRPr="00F66630">
              <w:rPr>
                <w:rFonts w:ascii="Times New Roman" w:hAnsi="Times New Roman"/>
                <w:b/>
                <w:bCs/>
                <w:i/>
              </w:rPr>
              <w:t>2021)</w:t>
            </w:r>
          </w:p>
        </w:tc>
        <w:tc>
          <w:tcPr>
            <w:tcW w:w="3792" w:type="pct"/>
          </w:tcPr>
          <w:p w14:paraId="6F4F7AA8" w14:textId="1CDD0578" w:rsidR="00320B0B" w:rsidRPr="00F66630" w:rsidRDefault="00886223" w:rsidP="00F93C26">
            <w:pPr>
              <w:spacing w:after="120"/>
              <w:rPr>
                <w:rFonts w:ascii="Times New Roman" w:eastAsia="Times New Roman" w:hAnsi="Times New Roman" w:cs="Times New Roman"/>
                <w:color w:val="000000"/>
              </w:rPr>
            </w:pPr>
            <w:r w:rsidRPr="00F66630">
              <w:rPr>
                <w:rFonts w:ascii="Times New Roman" w:eastAsia="Times New Roman" w:hAnsi="Times New Roman" w:cs="Times New Roman"/>
                <w:color w:val="000000"/>
              </w:rPr>
              <w:t>The public procurement legal framework must be approved by the state legislature to have a legal basis, either as a law or a resolution. It cannot be an executive order with no legal basis.</w:t>
            </w:r>
            <w:r w:rsidR="00F93C26" w:rsidRPr="00F66630">
              <w:rPr>
                <w:rFonts w:ascii="Times New Roman" w:eastAsia="Times New Roman" w:hAnsi="Times New Roman" w:cs="Times New Roman"/>
                <w:color w:val="000000"/>
              </w:rPr>
              <w:t xml:space="preserve"> </w:t>
            </w:r>
            <w:r w:rsidR="00320B0B" w:rsidRPr="00F66630">
              <w:rPr>
                <w:rFonts w:ascii="Times New Roman" w:hAnsi="Times New Roman" w:cs="Times New Roman"/>
              </w:rPr>
              <w:t>The approval of the public procurement legal framework shall occur by the 31 December of the year under assessment to count for that year.</w:t>
            </w:r>
          </w:p>
          <w:p w14:paraId="1ED199A4" w14:textId="3C30892F" w:rsidR="00886223" w:rsidRPr="00F66630" w:rsidRDefault="00886223" w:rsidP="00F93C26">
            <w:pPr>
              <w:spacing w:after="120"/>
              <w:rPr>
                <w:rFonts w:ascii="Times New Roman" w:eastAsia="Calibri" w:hAnsi="Times New Roman" w:cs="Times New Roman"/>
              </w:rPr>
            </w:pPr>
            <w:r w:rsidRPr="00F66630">
              <w:rPr>
                <w:rFonts w:ascii="Times New Roman" w:eastAsia="Calibri" w:hAnsi="Times New Roman" w:cs="Times New Roman"/>
              </w:rPr>
              <w:t>The law should conform with the UNCIT</w:t>
            </w:r>
            <w:r w:rsidR="0067399D" w:rsidRPr="00F66630">
              <w:rPr>
                <w:rFonts w:ascii="Times New Roman" w:eastAsia="Calibri" w:hAnsi="Times New Roman" w:cs="Times New Roman"/>
              </w:rPr>
              <w:t>R</w:t>
            </w:r>
            <w:r w:rsidRPr="00F66630">
              <w:rPr>
                <w:rFonts w:ascii="Times New Roman" w:eastAsia="Calibri" w:hAnsi="Times New Roman" w:cs="Times New Roman"/>
              </w:rPr>
              <w:t>AL Model Law</w:t>
            </w:r>
            <w:r w:rsidR="001517FA" w:rsidRPr="00F66630">
              <w:rPr>
                <w:rFonts w:ascii="Times New Roman" w:eastAsia="Calibri" w:hAnsi="Times New Roman" w:cs="Times New Roman"/>
              </w:rPr>
              <w:t xml:space="preserve">. It should </w:t>
            </w:r>
            <w:r w:rsidRPr="00F66630">
              <w:rPr>
                <w:rFonts w:ascii="Times New Roman" w:eastAsia="Calibri" w:hAnsi="Times New Roman" w:cs="Times New Roman"/>
              </w:rPr>
              <w:t xml:space="preserve">provide for: 1) eProcurement; 2) establishment of an independent </w:t>
            </w:r>
            <w:r w:rsidR="008749BB" w:rsidRPr="00F66630">
              <w:rPr>
                <w:rFonts w:ascii="Times New Roman" w:eastAsia="Calibri" w:hAnsi="Times New Roman" w:cs="Times New Roman"/>
              </w:rPr>
              <w:t xml:space="preserve">procurement </w:t>
            </w:r>
            <w:r w:rsidR="00B04505" w:rsidRPr="00F66630">
              <w:rPr>
                <w:rFonts w:ascii="Times New Roman" w:eastAsia="Calibri" w:hAnsi="Times New Roman" w:cs="Times New Roman"/>
              </w:rPr>
              <w:t>agency</w:t>
            </w:r>
            <w:r w:rsidR="00F93C26" w:rsidRPr="00F66630">
              <w:rPr>
                <w:rFonts w:ascii="Times New Roman" w:eastAsia="Calibri" w:hAnsi="Times New Roman" w:cs="Times New Roman"/>
              </w:rPr>
              <w:t>;</w:t>
            </w:r>
            <w:r w:rsidR="001517FA" w:rsidRPr="00F66630">
              <w:rPr>
                <w:rFonts w:ascii="Times New Roman" w:eastAsia="Calibri" w:hAnsi="Times New Roman" w:cs="Times New Roman"/>
              </w:rPr>
              <w:t xml:space="preserve"> </w:t>
            </w:r>
            <w:r w:rsidRPr="00F66630">
              <w:rPr>
                <w:rFonts w:ascii="Times New Roman" w:eastAsia="Calibri" w:hAnsi="Times New Roman" w:cs="Times New Roman"/>
              </w:rPr>
              <w:t xml:space="preserve">and 3) cover all MDAs receiving funds from the state budget. </w:t>
            </w:r>
          </w:p>
          <w:p w14:paraId="40198FDF" w14:textId="1B2A11F4" w:rsidR="00021746" w:rsidRPr="00F66630" w:rsidRDefault="00021746" w:rsidP="00F93C26">
            <w:pPr>
              <w:spacing w:after="120"/>
              <w:rPr>
                <w:rFonts w:ascii="Times New Roman" w:eastAsia="Calibri" w:hAnsi="Times New Roman" w:cs="Times New Roman"/>
              </w:rPr>
            </w:pPr>
            <w:r w:rsidRPr="00F66630">
              <w:rPr>
                <w:rFonts w:ascii="Times New Roman" w:eastAsia="Calibri" w:hAnsi="Times New Roman" w:cs="Times New Roman"/>
              </w:rPr>
              <w:t xml:space="preserve">The independent procurement </w:t>
            </w:r>
            <w:r w:rsidR="00FB3EBC" w:rsidRPr="00F66630">
              <w:rPr>
                <w:rFonts w:ascii="Times New Roman" w:eastAsia="Calibri" w:hAnsi="Times New Roman" w:cs="Times New Roman"/>
              </w:rPr>
              <w:t xml:space="preserve">regulatory function </w:t>
            </w:r>
            <w:r w:rsidRPr="00F66630">
              <w:rPr>
                <w:rFonts w:ascii="Times New Roman" w:eastAsia="Calibri" w:hAnsi="Times New Roman" w:cs="Times New Roman"/>
              </w:rPr>
              <w:t xml:space="preserve">may be </w:t>
            </w:r>
            <w:r w:rsidR="00FB3EBC" w:rsidRPr="00F66630">
              <w:rPr>
                <w:rFonts w:ascii="Times New Roman" w:eastAsia="Calibri" w:hAnsi="Times New Roman" w:cs="Times New Roman"/>
              </w:rPr>
              <w:t>performed through one or a combination of the following</w:t>
            </w:r>
            <w:r w:rsidR="003752A6" w:rsidRPr="00F66630">
              <w:rPr>
                <w:rFonts w:ascii="Times New Roman" w:eastAsia="Calibri" w:hAnsi="Times New Roman" w:cs="Times New Roman"/>
              </w:rPr>
              <w:t>:</w:t>
            </w:r>
            <w:r w:rsidR="00FB3EBC" w:rsidRPr="00F66630">
              <w:rPr>
                <w:rFonts w:ascii="Times New Roman" w:eastAsia="Calibri" w:hAnsi="Times New Roman" w:cs="Times New Roman"/>
              </w:rPr>
              <w:t xml:space="preserve"> </w:t>
            </w:r>
            <w:r w:rsidRPr="00F66630">
              <w:rPr>
                <w:rFonts w:ascii="Times New Roman" w:eastAsia="Calibri" w:hAnsi="Times New Roman" w:cs="Times New Roman"/>
              </w:rPr>
              <w:t xml:space="preserve">bureau, commission, council, </w:t>
            </w:r>
            <w:r w:rsidR="00570945" w:rsidRPr="00F66630">
              <w:rPr>
                <w:rFonts w:ascii="Times New Roman" w:eastAsia="Calibri" w:hAnsi="Times New Roman" w:cs="Times New Roman"/>
              </w:rPr>
              <w:t>agency,</w:t>
            </w:r>
            <w:r w:rsidRPr="00F66630">
              <w:rPr>
                <w:rFonts w:ascii="Times New Roman" w:eastAsia="Calibri" w:hAnsi="Times New Roman" w:cs="Times New Roman"/>
              </w:rPr>
              <w:t xml:space="preserve"> or any other type of entity</w:t>
            </w:r>
            <w:r w:rsidR="00FB3EBC" w:rsidRPr="00F66630">
              <w:rPr>
                <w:rFonts w:ascii="Times New Roman" w:eastAsia="Calibri" w:hAnsi="Times New Roman" w:cs="Times New Roman"/>
              </w:rPr>
              <w:t xml:space="preserve"> set up for the </w:t>
            </w:r>
            <w:r w:rsidR="00E86FB6" w:rsidRPr="00F66630">
              <w:rPr>
                <w:rFonts w:ascii="Times New Roman" w:eastAsia="Calibri" w:hAnsi="Times New Roman" w:cs="Times New Roman"/>
              </w:rPr>
              <w:t xml:space="preserve">statutory </w:t>
            </w:r>
            <w:r w:rsidR="00FB3EBC" w:rsidRPr="00F66630">
              <w:rPr>
                <w:rFonts w:ascii="Times New Roman" w:eastAsia="Calibri" w:hAnsi="Times New Roman" w:cs="Times New Roman"/>
              </w:rPr>
              <w:t xml:space="preserve">purpose. </w:t>
            </w:r>
            <w:r w:rsidRPr="00F66630">
              <w:rPr>
                <w:rFonts w:ascii="Times New Roman" w:eastAsia="Calibri" w:hAnsi="Times New Roman" w:cs="Times New Roman"/>
              </w:rPr>
              <w:t xml:space="preserve"> </w:t>
            </w:r>
          </w:p>
          <w:p w14:paraId="74426F6A" w14:textId="77777777" w:rsidR="00886223" w:rsidRPr="00F66630" w:rsidRDefault="00886223" w:rsidP="00F93C26">
            <w:pPr>
              <w:spacing w:after="120"/>
              <w:rPr>
                <w:rFonts w:ascii="Times New Roman" w:eastAsia="Calibri" w:hAnsi="Times New Roman" w:cs="Times New Roman"/>
              </w:rPr>
            </w:pPr>
            <w:r w:rsidRPr="00F66630">
              <w:rPr>
                <w:rFonts w:ascii="Times New Roman" w:eastAsia="Calibri" w:hAnsi="Times New Roman" w:cs="Times New Roman"/>
              </w:rPr>
              <w:t xml:space="preserve">The regulatory agency is the agency responsible for prescribing regulations and procedures for public procurements in accordance with </w:t>
            </w:r>
            <w:r w:rsidR="00E86FB6" w:rsidRPr="00F66630">
              <w:rPr>
                <w:rFonts w:ascii="Times New Roman" w:eastAsia="Calibri" w:hAnsi="Times New Roman" w:cs="Times New Roman"/>
              </w:rPr>
              <w:t xml:space="preserve">the </w:t>
            </w:r>
            <w:r w:rsidRPr="00F66630">
              <w:rPr>
                <w:rFonts w:ascii="Times New Roman" w:eastAsia="Calibri" w:hAnsi="Times New Roman" w:cs="Times New Roman"/>
              </w:rPr>
              <w:t>legal framework</w:t>
            </w:r>
            <w:r w:rsidR="00E86FB6" w:rsidRPr="00F66630">
              <w:rPr>
                <w:rFonts w:ascii="Times New Roman" w:eastAsia="Calibri" w:hAnsi="Times New Roman" w:cs="Times New Roman"/>
              </w:rPr>
              <w:t>,</w:t>
            </w:r>
            <w:r w:rsidRPr="00F66630">
              <w:rPr>
                <w:rFonts w:ascii="Times New Roman" w:eastAsia="Calibri" w:hAnsi="Times New Roman" w:cs="Times New Roman"/>
              </w:rPr>
              <w:t xml:space="preserve"> with a view to improv</w:t>
            </w:r>
            <w:r w:rsidR="00E86FB6" w:rsidRPr="00F66630">
              <w:rPr>
                <w:rFonts w:ascii="Times New Roman" w:eastAsia="Calibri" w:hAnsi="Times New Roman" w:cs="Times New Roman"/>
              </w:rPr>
              <w:t>ing</w:t>
            </w:r>
            <w:r w:rsidRPr="00F66630">
              <w:rPr>
                <w:rFonts w:ascii="Times New Roman" w:eastAsia="Calibri" w:hAnsi="Times New Roman" w:cs="Times New Roman"/>
              </w:rPr>
              <w:t xml:space="preserve"> governance, management, transparency, </w:t>
            </w:r>
            <w:proofErr w:type="gramStart"/>
            <w:r w:rsidRPr="00F66630">
              <w:rPr>
                <w:rFonts w:ascii="Times New Roman" w:eastAsia="Calibri" w:hAnsi="Times New Roman" w:cs="Times New Roman"/>
              </w:rPr>
              <w:t>accountability</w:t>
            </w:r>
            <w:proofErr w:type="gramEnd"/>
            <w:r w:rsidRPr="00F66630">
              <w:rPr>
                <w:rFonts w:ascii="Times New Roman" w:eastAsia="Calibri" w:hAnsi="Times New Roman" w:cs="Times New Roman"/>
              </w:rPr>
              <w:t xml:space="preserve"> and quality of public procurement of goods, works and services.</w:t>
            </w:r>
          </w:p>
          <w:p w14:paraId="793A1569" w14:textId="77777777" w:rsidR="009F5C02" w:rsidRPr="00F66630" w:rsidRDefault="009F5C02" w:rsidP="00BD6E98">
            <w:pPr>
              <w:pStyle w:val="Default"/>
              <w:rPr>
                <w:sz w:val="22"/>
                <w:szCs w:val="22"/>
              </w:rPr>
            </w:pPr>
            <w:r w:rsidRPr="00F66630">
              <w:rPr>
                <w:sz w:val="22"/>
                <w:szCs w:val="22"/>
              </w:rPr>
              <w:t xml:space="preserve">The regulatory agency is required to be </w:t>
            </w:r>
            <w:r w:rsidR="00BD6E98" w:rsidRPr="00F66630">
              <w:rPr>
                <w:sz w:val="22"/>
                <w:szCs w:val="22"/>
              </w:rPr>
              <w:t>established and functioning by the 31 December of the year under assessment to count for that year</w:t>
            </w:r>
            <w:r w:rsidR="009D60FF" w:rsidRPr="00F66630">
              <w:rPr>
                <w:sz w:val="22"/>
                <w:szCs w:val="22"/>
              </w:rPr>
              <w:t>.</w:t>
            </w:r>
          </w:p>
          <w:p w14:paraId="545E5BAB" w14:textId="1C977396" w:rsidR="00972B10" w:rsidRPr="00F66630" w:rsidRDefault="00972B10" w:rsidP="00BD6E98">
            <w:pPr>
              <w:pStyle w:val="Default"/>
              <w:rPr>
                <w:sz w:val="22"/>
                <w:szCs w:val="22"/>
              </w:rPr>
            </w:pPr>
          </w:p>
        </w:tc>
      </w:tr>
      <w:tr w:rsidR="007D562A" w:rsidRPr="00F66630" w14:paraId="32F2CB97" w14:textId="77777777" w:rsidTr="00321CAE">
        <w:tc>
          <w:tcPr>
            <w:tcW w:w="5000" w:type="pct"/>
            <w:gridSpan w:val="2"/>
            <w:shd w:val="clear" w:color="auto" w:fill="FDE9D9" w:themeFill="accent6" w:themeFillTint="33"/>
          </w:tcPr>
          <w:p w14:paraId="2652827C" w14:textId="77777777" w:rsidR="007D562A" w:rsidRPr="00F66630" w:rsidRDefault="007D562A" w:rsidP="00DE4E0B">
            <w:pPr>
              <w:rPr>
                <w:rFonts w:ascii="Times New Roman" w:hAnsi="Times New Roman" w:cs="Times New Roman"/>
                <w:b/>
                <w:i/>
              </w:rPr>
            </w:pPr>
            <w:r w:rsidRPr="00F66630">
              <w:rPr>
                <w:rFonts w:ascii="Times New Roman" w:hAnsi="Times New Roman" w:cs="Times New Roman"/>
                <w:b/>
                <w:i/>
              </w:rPr>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077F1C" w:rsidRPr="00F66630">
              <w:rPr>
                <w:rFonts w:ascii="Times New Roman" w:hAnsi="Times New Roman" w:cs="Times New Roman"/>
                <w:b/>
                <w:i/>
              </w:rPr>
              <w:t xml:space="preserve"> (2019 APA onwards)</w:t>
            </w:r>
          </w:p>
          <w:p w14:paraId="5A60142C" w14:textId="21A732BF" w:rsidR="00972B10" w:rsidRPr="00F66630" w:rsidRDefault="00972B10" w:rsidP="00DE4E0B">
            <w:pPr>
              <w:rPr>
                <w:rFonts w:ascii="Times New Roman" w:hAnsi="Times New Roman" w:cs="Times New Roman"/>
                <w:b/>
                <w:i/>
              </w:rPr>
            </w:pPr>
          </w:p>
        </w:tc>
      </w:tr>
      <w:tr w:rsidR="007D562A" w:rsidRPr="00F66630" w14:paraId="019D23DC" w14:textId="77777777" w:rsidTr="00321CAE">
        <w:tc>
          <w:tcPr>
            <w:tcW w:w="5000" w:type="pct"/>
            <w:gridSpan w:val="2"/>
          </w:tcPr>
          <w:p w14:paraId="352FF04C" w14:textId="77777777" w:rsidR="007D562A" w:rsidRPr="00F66630" w:rsidRDefault="007D562A" w:rsidP="007D562A">
            <w:pPr>
              <w:rPr>
                <w:rFonts w:ascii="Times New Roman" w:hAnsi="Times New Roman" w:cs="Times New Roman"/>
                <w:b/>
                <w:i/>
                <w:u w:val="single"/>
              </w:rPr>
            </w:pPr>
            <w:r w:rsidRPr="00F66630">
              <w:rPr>
                <w:rFonts w:ascii="Times New Roman" w:hAnsi="Times New Roman" w:cs="Times New Roman"/>
                <w:b/>
                <w:i/>
                <w:u w:val="single"/>
              </w:rPr>
              <w:t>Data Sources</w:t>
            </w:r>
          </w:p>
          <w:p w14:paraId="4D2842CC" w14:textId="77777777" w:rsidR="00A62C1C" w:rsidRPr="00F66630" w:rsidRDefault="00677053" w:rsidP="00E36965">
            <w:pPr>
              <w:pStyle w:val="ListParagraph"/>
              <w:numPr>
                <w:ilvl w:val="0"/>
                <w:numId w:val="19"/>
              </w:numPr>
              <w:rPr>
                <w:rFonts w:ascii="Times New Roman" w:eastAsia="Times New Roman" w:hAnsi="Times New Roman" w:cs="Times New Roman"/>
                <w:bCs/>
              </w:rPr>
            </w:pPr>
            <w:r w:rsidRPr="00F66630">
              <w:rPr>
                <w:rFonts w:ascii="Times New Roman" w:eastAsia="Times New Roman" w:hAnsi="Times New Roman" w:cs="Times New Roman"/>
                <w:b/>
                <w:bCs/>
              </w:rPr>
              <w:t>State Bureau for Public Procurement, Public Procurement Agency</w:t>
            </w:r>
            <w:r w:rsidRPr="00F66630">
              <w:rPr>
                <w:rFonts w:ascii="Times New Roman" w:eastAsia="Times New Roman" w:hAnsi="Times New Roman" w:cs="Times New Roman"/>
                <w:bCs/>
              </w:rPr>
              <w:t xml:space="preserve"> or equivalent</w:t>
            </w:r>
          </w:p>
          <w:p w14:paraId="08D229E0" w14:textId="44D8D320" w:rsidR="00972B10" w:rsidRPr="00F66630" w:rsidRDefault="00972B10" w:rsidP="00972B10">
            <w:pPr>
              <w:pStyle w:val="ListParagraph"/>
              <w:rPr>
                <w:rFonts w:ascii="Times New Roman" w:eastAsia="Times New Roman" w:hAnsi="Times New Roman" w:cs="Times New Roman"/>
                <w:bCs/>
              </w:rPr>
            </w:pPr>
          </w:p>
        </w:tc>
      </w:tr>
      <w:tr w:rsidR="00886223" w:rsidRPr="00F66630" w14:paraId="6AB21397" w14:textId="77777777" w:rsidTr="00321CAE">
        <w:tc>
          <w:tcPr>
            <w:tcW w:w="5000" w:type="pct"/>
            <w:gridSpan w:val="2"/>
          </w:tcPr>
          <w:p w14:paraId="1CC191D9" w14:textId="445447C4" w:rsidR="00886223" w:rsidRPr="00F66630" w:rsidRDefault="00886223" w:rsidP="00395C93">
            <w:pPr>
              <w:rPr>
                <w:rFonts w:ascii="Times New Roman" w:hAnsi="Times New Roman" w:cs="Times New Roman"/>
                <w:b/>
                <w:i/>
                <w:u w:val="single"/>
              </w:rPr>
            </w:pPr>
            <w:r w:rsidRPr="00F66630">
              <w:rPr>
                <w:rFonts w:ascii="Times New Roman" w:hAnsi="Times New Roman" w:cs="Times New Roman"/>
                <w:b/>
                <w:i/>
                <w:u w:val="single"/>
              </w:rPr>
              <w:t>Procedures</w:t>
            </w:r>
          </w:p>
          <w:p w14:paraId="4A31FCD1" w14:textId="60A89AC8" w:rsidR="00886223" w:rsidRPr="00F66630" w:rsidRDefault="00886223" w:rsidP="00395C93">
            <w:pPr>
              <w:rPr>
                <w:rFonts w:ascii="Times New Roman" w:hAnsi="Times New Roman" w:cs="Times New Roman"/>
              </w:rPr>
            </w:pPr>
            <w:r w:rsidRPr="00F66630">
              <w:rPr>
                <w:rFonts w:ascii="Times New Roman" w:hAnsi="Times New Roman" w:cs="Times New Roman"/>
              </w:rPr>
              <w:t>The IVA will carry out the following</w:t>
            </w:r>
            <w:r w:rsidR="00570945" w:rsidRPr="00F66630">
              <w:rPr>
                <w:rFonts w:ascii="Times New Roman" w:hAnsi="Times New Roman" w:cs="Times New Roman"/>
              </w:rPr>
              <w:t>:</w:t>
            </w:r>
          </w:p>
          <w:p w14:paraId="7ABCB85C" w14:textId="4E155436" w:rsidR="00886223" w:rsidRPr="00F66630" w:rsidRDefault="00886223" w:rsidP="00E36965">
            <w:pPr>
              <w:pStyle w:val="ListParagraph"/>
              <w:numPr>
                <w:ilvl w:val="0"/>
                <w:numId w:val="18"/>
              </w:numPr>
              <w:rPr>
                <w:rFonts w:ascii="Times New Roman" w:hAnsi="Times New Roman" w:cs="Times New Roman"/>
              </w:rPr>
            </w:pPr>
            <w:r w:rsidRPr="00F66630">
              <w:rPr>
                <w:rFonts w:ascii="Times New Roman" w:hAnsi="Times New Roman" w:cs="Times New Roman"/>
              </w:rPr>
              <w:t xml:space="preserve">Obtain the following from each </w:t>
            </w:r>
            <w:r w:rsidR="00090593" w:rsidRPr="00F66630">
              <w:rPr>
                <w:rFonts w:ascii="Times New Roman" w:hAnsi="Times New Roman" w:cs="Times New Roman"/>
              </w:rPr>
              <w:t>State Public Procurement Regulatory Agency</w:t>
            </w:r>
            <w:r w:rsidR="001517FA" w:rsidRPr="00F66630">
              <w:rPr>
                <w:rFonts w:ascii="Times New Roman" w:hAnsi="Times New Roman" w:cs="Times New Roman"/>
              </w:rPr>
              <w:t xml:space="preserve"> (or Bureau</w:t>
            </w:r>
            <w:r w:rsidR="00F5352C" w:rsidRPr="00F66630">
              <w:rPr>
                <w:rFonts w:ascii="Times New Roman" w:hAnsi="Times New Roman" w:cs="Times New Roman"/>
              </w:rPr>
              <w:t xml:space="preserve"> or </w:t>
            </w:r>
            <w:r w:rsidR="00021746" w:rsidRPr="00F66630">
              <w:rPr>
                <w:rFonts w:ascii="Times New Roman" w:hAnsi="Times New Roman" w:cs="Times New Roman"/>
              </w:rPr>
              <w:t>Commission</w:t>
            </w:r>
            <w:r w:rsidR="001517FA" w:rsidRPr="00F66630">
              <w:rPr>
                <w:rFonts w:ascii="Times New Roman" w:hAnsi="Times New Roman" w:cs="Times New Roman"/>
              </w:rPr>
              <w:t>)</w:t>
            </w:r>
            <w:r w:rsidRPr="00F66630">
              <w:rPr>
                <w:rFonts w:ascii="Times New Roman" w:hAnsi="Times New Roman" w:cs="Times New Roman"/>
              </w:rPr>
              <w:t>:</w:t>
            </w:r>
          </w:p>
          <w:p w14:paraId="415C7D5C" w14:textId="30385FFA" w:rsidR="00886223" w:rsidRPr="00F66630" w:rsidRDefault="00886223" w:rsidP="00E36965">
            <w:pPr>
              <w:pStyle w:val="ListParagraph"/>
              <w:numPr>
                <w:ilvl w:val="1"/>
                <w:numId w:val="18"/>
              </w:numPr>
              <w:rPr>
                <w:rFonts w:ascii="Times New Roman" w:hAnsi="Times New Roman" w:cs="Times New Roman"/>
              </w:rPr>
            </w:pPr>
            <w:r w:rsidRPr="00F66630">
              <w:rPr>
                <w:rFonts w:ascii="Times New Roman" w:hAnsi="Times New Roman" w:cs="Times New Roman"/>
              </w:rPr>
              <w:t>A copy of the State Procurement Law as passed by the Assembly and assented to by the Governor. (Confirm the dates of passage and assent)</w:t>
            </w:r>
          </w:p>
          <w:p w14:paraId="7DC6D980" w14:textId="058C3BA6" w:rsidR="00886223" w:rsidRPr="00F66630" w:rsidRDefault="00886223" w:rsidP="00E36965">
            <w:pPr>
              <w:pStyle w:val="ListParagraph"/>
              <w:numPr>
                <w:ilvl w:val="1"/>
                <w:numId w:val="18"/>
              </w:numPr>
              <w:rPr>
                <w:rFonts w:ascii="Times New Roman" w:hAnsi="Times New Roman" w:cs="Times New Roman"/>
              </w:rPr>
            </w:pPr>
            <w:r w:rsidRPr="00F66630">
              <w:rPr>
                <w:rFonts w:ascii="Times New Roman" w:hAnsi="Times New Roman" w:cs="Times New Roman"/>
              </w:rPr>
              <w:t>Where a Procurement Law has not been passed, obtain a copy of the relevant resolution of the State House of Assembly guiding Procurement</w:t>
            </w:r>
          </w:p>
          <w:p w14:paraId="6FD912AA" w14:textId="4DA58CB4" w:rsidR="00E13789" w:rsidRPr="00F66630" w:rsidRDefault="00E13789" w:rsidP="00E36965">
            <w:pPr>
              <w:pStyle w:val="ListParagraph"/>
              <w:numPr>
                <w:ilvl w:val="1"/>
                <w:numId w:val="18"/>
              </w:numPr>
              <w:rPr>
                <w:rFonts w:ascii="Times New Roman" w:hAnsi="Times New Roman" w:cs="Times New Roman"/>
              </w:rPr>
            </w:pPr>
            <w:r w:rsidRPr="00F66630">
              <w:rPr>
                <w:rFonts w:ascii="Times New Roman" w:hAnsi="Times New Roman" w:cs="Times New Roman"/>
              </w:rPr>
              <w:t xml:space="preserve">The Law or relevant resolution </w:t>
            </w:r>
            <w:proofErr w:type="gramStart"/>
            <w:r w:rsidRPr="00F66630">
              <w:rPr>
                <w:rFonts w:ascii="Times New Roman" w:hAnsi="Times New Roman" w:cs="Times New Roman"/>
              </w:rPr>
              <w:t>ha</w:t>
            </w:r>
            <w:r w:rsidR="001517FA" w:rsidRPr="00F66630">
              <w:rPr>
                <w:rFonts w:ascii="Times New Roman" w:hAnsi="Times New Roman" w:cs="Times New Roman"/>
              </w:rPr>
              <w:t>s</w:t>
            </w:r>
            <w:r w:rsidRPr="00F66630">
              <w:rPr>
                <w:rFonts w:ascii="Times New Roman" w:hAnsi="Times New Roman" w:cs="Times New Roman"/>
              </w:rPr>
              <w:t xml:space="preserve"> to</w:t>
            </w:r>
            <w:proofErr w:type="gramEnd"/>
            <w:r w:rsidRPr="00F66630">
              <w:rPr>
                <w:rFonts w:ascii="Times New Roman" w:hAnsi="Times New Roman" w:cs="Times New Roman"/>
              </w:rPr>
              <w:t xml:space="preserve"> be </w:t>
            </w:r>
            <w:r w:rsidR="00EA78C6" w:rsidRPr="00F66630">
              <w:rPr>
                <w:rFonts w:ascii="Times New Roman" w:hAnsi="Times New Roman" w:cs="Times New Roman"/>
              </w:rPr>
              <w:t>passed</w:t>
            </w:r>
            <w:r w:rsidRPr="00F66630">
              <w:rPr>
                <w:rFonts w:ascii="Times New Roman" w:hAnsi="Times New Roman" w:cs="Times New Roman"/>
              </w:rPr>
              <w:t xml:space="preserve"> by the 31 December of that year to count for that year.</w:t>
            </w:r>
          </w:p>
          <w:p w14:paraId="5644F050" w14:textId="00DDC303" w:rsidR="00886223" w:rsidRPr="00F66630" w:rsidRDefault="00886223" w:rsidP="00E36965">
            <w:pPr>
              <w:pStyle w:val="ListParagraph"/>
              <w:numPr>
                <w:ilvl w:val="0"/>
                <w:numId w:val="18"/>
              </w:numPr>
              <w:rPr>
                <w:rFonts w:ascii="Times New Roman" w:hAnsi="Times New Roman" w:cs="Times New Roman"/>
              </w:rPr>
            </w:pPr>
            <w:r w:rsidRPr="00F66630">
              <w:rPr>
                <w:rFonts w:ascii="Times New Roman" w:hAnsi="Times New Roman" w:cs="Times New Roman"/>
              </w:rPr>
              <w:t>Confirm whether the State Law or resolution provides for the following</w:t>
            </w:r>
            <w:r w:rsidR="00090593" w:rsidRPr="00F66630">
              <w:rPr>
                <w:rFonts w:ascii="Times New Roman" w:hAnsi="Times New Roman" w:cs="Times New Roman"/>
              </w:rPr>
              <w:t>:</w:t>
            </w:r>
          </w:p>
          <w:p w14:paraId="1F6B1742" w14:textId="1FAF4AFF" w:rsidR="00886223" w:rsidRPr="00F66630" w:rsidRDefault="00886223" w:rsidP="00E36965">
            <w:pPr>
              <w:pStyle w:val="ListParagraph"/>
              <w:numPr>
                <w:ilvl w:val="1"/>
                <w:numId w:val="18"/>
              </w:numPr>
              <w:rPr>
                <w:rFonts w:ascii="Times New Roman" w:hAnsi="Times New Roman" w:cs="Times New Roman"/>
              </w:rPr>
            </w:pPr>
            <w:r w:rsidRPr="00F66630">
              <w:rPr>
                <w:rFonts w:ascii="Times New Roman" w:hAnsi="Times New Roman" w:cs="Times New Roman"/>
              </w:rPr>
              <w:t>eProcurement (</w:t>
            </w:r>
            <w:r w:rsidR="001517FA" w:rsidRPr="00F66630">
              <w:rPr>
                <w:rFonts w:ascii="Times New Roman" w:hAnsi="Times New Roman" w:cs="Times New Roman"/>
              </w:rPr>
              <w:t xml:space="preserve">if e-procurement is not specifically mentioned, confirm the law covers the use of </w:t>
            </w:r>
            <w:r w:rsidR="00271DF1" w:rsidRPr="00F66630">
              <w:rPr>
                <w:rFonts w:ascii="Times New Roman" w:hAnsi="Times New Roman" w:cs="Times New Roman"/>
              </w:rPr>
              <w:t>information communications</w:t>
            </w:r>
            <w:r w:rsidR="001517FA" w:rsidRPr="00F66630">
              <w:rPr>
                <w:rFonts w:ascii="Times New Roman" w:hAnsi="Times New Roman" w:cs="Times New Roman"/>
              </w:rPr>
              <w:t xml:space="preserve"> technology in procurement</w:t>
            </w:r>
            <w:proofErr w:type="gramStart"/>
            <w:r w:rsidR="001517FA" w:rsidRPr="00F66630">
              <w:rPr>
                <w:rFonts w:ascii="Times New Roman" w:hAnsi="Times New Roman" w:cs="Times New Roman"/>
              </w:rPr>
              <w:t>)</w:t>
            </w:r>
            <w:r w:rsidR="00570945" w:rsidRPr="00F66630">
              <w:rPr>
                <w:rFonts w:ascii="Times New Roman" w:hAnsi="Times New Roman" w:cs="Times New Roman"/>
              </w:rPr>
              <w:t>;</w:t>
            </w:r>
            <w:proofErr w:type="gramEnd"/>
          </w:p>
          <w:p w14:paraId="6063BF07" w14:textId="280B7B5A" w:rsidR="00886223" w:rsidRPr="00F66630" w:rsidRDefault="00886223" w:rsidP="00E36965">
            <w:pPr>
              <w:pStyle w:val="ListParagraph"/>
              <w:numPr>
                <w:ilvl w:val="1"/>
                <w:numId w:val="18"/>
              </w:numPr>
              <w:rPr>
                <w:rFonts w:ascii="Times New Roman" w:hAnsi="Times New Roman" w:cs="Times New Roman"/>
              </w:rPr>
            </w:pPr>
            <w:r w:rsidRPr="00F66630">
              <w:rPr>
                <w:rFonts w:ascii="Times New Roman" w:hAnsi="Times New Roman" w:cs="Times New Roman"/>
              </w:rPr>
              <w:t xml:space="preserve">establishment of an independent </w:t>
            </w:r>
            <w:r w:rsidR="00370F87" w:rsidRPr="00F66630">
              <w:rPr>
                <w:rFonts w:ascii="Times New Roman" w:hAnsi="Times New Roman" w:cs="Times New Roman"/>
              </w:rPr>
              <w:t>Regulatory Agency</w:t>
            </w:r>
            <w:r w:rsidR="00D6400B" w:rsidRPr="00F66630">
              <w:rPr>
                <w:rFonts w:ascii="Times New Roman" w:hAnsi="Times New Roman" w:cs="Times New Roman"/>
              </w:rPr>
              <w:t xml:space="preserve"> (note 1)</w:t>
            </w:r>
            <w:r w:rsidRPr="00F66630">
              <w:rPr>
                <w:rFonts w:ascii="Times New Roman" w:hAnsi="Times New Roman" w:cs="Times New Roman"/>
              </w:rPr>
              <w:t xml:space="preserve">, </w:t>
            </w:r>
            <w:proofErr w:type="gramStart"/>
            <w:r w:rsidRPr="00F66630">
              <w:rPr>
                <w:rFonts w:ascii="Times New Roman" w:hAnsi="Times New Roman" w:cs="Times New Roman"/>
              </w:rPr>
              <w:t>and;</w:t>
            </w:r>
            <w:proofErr w:type="gramEnd"/>
          </w:p>
          <w:p w14:paraId="6D98DD05" w14:textId="5B87EE4E" w:rsidR="00886223" w:rsidRPr="00F66630" w:rsidRDefault="00886223" w:rsidP="00E36965">
            <w:pPr>
              <w:pStyle w:val="ListParagraph"/>
              <w:numPr>
                <w:ilvl w:val="1"/>
                <w:numId w:val="18"/>
              </w:numPr>
              <w:rPr>
                <w:rFonts w:ascii="Times New Roman" w:hAnsi="Times New Roman" w:cs="Times New Roman"/>
              </w:rPr>
            </w:pPr>
            <w:r w:rsidRPr="00F66630">
              <w:rPr>
                <w:rFonts w:ascii="Times New Roman" w:hAnsi="Times New Roman" w:cs="Times New Roman"/>
              </w:rPr>
              <w:lastRenderedPageBreak/>
              <w:t>coverage of all MDAs receiving funds from the state budget.</w:t>
            </w:r>
          </w:p>
          <w:p w14:paraId="258EDE35" w14:textId="77777777" w:rsidR="00886223" w:rsidRPr="00F66630" w:rsidRDefault="00886223" w:rsidP="00E36965">
            <w:pPr>
              <w:pStyle w:val="ListParagraph"/>
              <w:numPr>
                <w:ilvl w:val="0"/>
                <w:numId w:val="18"/>
              </w:numPr>
              <w:rPr>
                <w:rFonts w:ascii="Times New Roman" w:hAnsi="Times New Roman" w:cs="Times New Roman"/>
              </w:rPr>
            </w:pPr>
            <w:r w:rsidRPr="00F66630">
              <w:rPr>
                <w:rFonts w:ascii="Times New Roman" w:hAnsi="Times New Roman" w:cs="Times New Roman"/>
              </w:rPr>
              <w:t xml:space="preserve">Confirm that the State has a Procurement regulatory agency responsible for prescribing regulations and procedures for public procurements in accordance with legal framework. </w:t>
            </w:r>
          </w:p>
          <w:p w14:paraId="3F4BFB12" w14:textId="77777777" w:rsidR="00886223" w:rsidRPr="00F66630" w:rsidRDefault="00886223" w:rsidP="00E36965">
            <w:pPr>
              <w:pStyle w:val="ListParagraph"/>
              <w:numPr>
                <w:ilvl w:val="0"/>
                <w:numId w:val="18"/>
              </w:numPr>
              <w:rPr>
                <w:rFonts w:ascii="Times New Roman" w:hAnsi="Times New Roman" w:cs="Times New Roman"/>
              </w:rPr>
            </w:pPr>
            <w:r w:rsidRPr="00F66630">
              <w:rPr>
                <w:rFonts w:ascii="Times New Roman" w:hAnsi="Times New Roman" w:cs="Times New Roman"/>
              </w:rPr>
              <w:t xml:space="preserve">Obtain evidence to demonstrate the regulatory agency is active and effective. This will include an interview with the Chief Executive and management, a physical inspection of the agency, interviews with operational staff selected at random, and a review of records that demonstrate the agency has been active. </w:t>
            </w:r>
          </w:p>
          <w:p w14:paraId="2C837A8C" w14:textId="77777777" w:rsidR="00246F32" w:rsidRPr="00F66630" w:rsidRDefault="00886223" w:rsidP="00E36965">
            <w:pPr>
              <w:pStyle w:val="ListParagraph"/>
              <w:numPr>
                <w:ilvl w:val="0"/>
                <w:numId w:val="18"/>
              </w:numPr>
              <w:rPr>
                <w:rFonts w:ascii="Times New Roman" w:hAnsi="Times New Roman" w:cs="Times New Roman"/>
              </w:rPr>
            </w:pPr>
            <w:r w:rsidRPr="00F66630">
              <w:rPr>
                <w:rFonts w:ascii="Times New Roman" w:hAnsi="Times New Roman" w:cs="Times New Roman"/>
              </w:rPr>
              <w:t>Specifically call for a record of all procurements/cases/transactions handled by the Agency in the year under assessment, select a sample of 5 cases at random, and conduct walkthroughs and file reviews to confirm the effective handling of the selected cases.</w:t>
            </w:r>
          </w:p>
          <w:p w14:paraId="2E31ECB0" w14:textId="77777777" w:rsidR="00246F32" w:rsidRPr="00F66630" w:rsidRDefault="00246F32" w:rsidP="00246F32">
            <w:pPr>
              <w:rPr>
                <w:rFonts w:ascii="Times New Roman" w:hAnsi="Times New Roman" w:cs="Times New Roman"/>
              </w:rPr>
            </w:pPr>
          </w:p>
          <w:p w14:paraId="38397540" w14:textId="0C5DB89C" w:rsidR="00246F32" w:rsidRPr="00F66630" w:rsidRDefault="00D6400B" w:rsidP="00D6400B">
            <w:pPr>
              <w:pStyle w:val="FootnoteText"/>
              <w:rPr>
                <w:rFonts w:cs="Times New Roman"/>
                <w:sz w:val="22"/>
                <w:szCs w:val="22"/>
              </w:rPr>
            </w:pPr>
            <w:r w:rsidRPr="00F66630">
              <w:rPr>
                <w:rFonts w:cs="Times New Roman"/>
                <w:sz w:val="22"/>
                <w:szCs w:val="22"/>
              </w:rPr>
              <w:t xml:space="preserve">Note 1: </w:t>
            </w:r>
            <w:r w:rsidR="00246F32" w:rsidRPr="00F66630">
              <w:rPr>
                <w:rFonts w:cs="Times New Roman"/>
                <w:sz w:val="22"/>
                <w:szCs w:val="22"/>
              </w:rPr>
              <w:t>A procurement regulatory agency will be adjudged to be independent if the following provisions are included</w:t>
            </w:r>
            <w:r w:rsidR="00F728E5" w:rsidRPr="00F66630">
              <w:rPr>
                <w:rFonts w:cs="Times New Roman"/>
                <w:sz w:val="22"/>
                <w:szCs w:val="22"/>
              </w:rPr>
              <w:t xml:space="preserve"> in</w:t>
            </w:r>
            <w:r w:rsidR="00246F32" w:rsidRPr="00F66630">
              <w:rPr>
                <w:rFonts w:cs="Times New Roman"/>
                <w:sz w:val="22"/>
                <w:szCs w:val="22"/>
              </w:rPr>
              <w:t xml:space="preserve"> the procurement law:</w:t>
            </w:r>
          </w:p>
          <w:p w14:paraId="0F53D9BE" w14:textId="77777777" w:rsidR="00246F32" w:rsidRPr="00F66630" w:rsidRDefault="00246F32" w:rsidP="00D6290B">
            <w:pPr>
              <w:pStyle w:val="ListParagraph"/>
              <w:numPr>
                <w:ilvl w:val="0"/>
                <w:numId w:val="41"/>
              </w:numPr>
              <w:rPr>
                <w:rFonts w:ascii="Times New Roman" w:hAnsi="Times New Roman" w:cs="Times New Roman"/>
              </w:rPr>
            </w:pPr>
            <w:r w:rsidRPr="00F66630">
              <w:rPr>
                <w:rFonts w:ascii="Times New Roman" w:hAnsi="Times New Roman" w:cs="Times New Roman"/>
              </w:rPr>
              <w:t>The composition of the Board</w:t>
            </w:r>
          </w:p>
          <w:p w14:paraId="1ED4F810" w14:textId="77777777" w:rsidR="00246F32" w:rsidRPr="00F66630" w:rsidRDefault="00246F32" w:rsidP="00D6290B">
            <w:pPr>
              <w:pStyle w:val="ListParagraph"/>
              <w:numPr>
                <w:ilvl w:val="0"/>
                <w:numId w:val="41"/>
              </w:numPr>
              <w:rPr>
                <w:rFonts w:ascii="Times New Roman" w:hAnsi="Times New Roman" w:cs="Times New Roman"/>
              </w:rPr>
            </w:pPr>
            <w:r w:rsidRPr="00F66630">
              <w:rPr>
                <w:rFonts w:ascii="Times New Roman" w:hAnsi="Times New Roman" w:cs="Times New Roman"/>
              </w:rPr>
              <w:t>Functions and powers of the agency</w:t>
            </w:r>
          </w:p>
          <w:p w14:paraId="6B3D2D77" w14:textId="77777777" w:rsidR="00246F32" w:rsidRPr="00F66630" w:rsidRDefault="00246F32" w:rsidP="00D6290B">
            <w:pPr>
              <w:pStyle w:val="ListParagraph"/>
              <w:numPr>
                <w:ilvl w:val="0"/>
                <w:numId w:val="41"/>
              </w:numPr>
              <w:rPr>
                <w:rFonts w:ascii="Times New Roman" w:hAnsi="Times New Roman" w:cs="Times New Roman"/>
              </w:rPr>
            </w:pPr>
            <w:r w:rsidRPr="00F66630">
              <w:rPr>
                <w:rFonts w:ascii="Times New Roman" w:hAnsi="Times New Roman" w:cs="Times New Roman"/>
              </w:rPr>
              <w:t>Membership of board/Council includes representatives from professional bodies/Associations</w:t>
            </w:r>
          </w:p>
          <w:p w14:paraId="25061C27" w14:textId="77777777" w:rsidR="00246F32" w:rsidRPr="00F66630" w:rsidRDefault="00246F32" w:rsidP="00D6290B">
            <w:pPr>
              <w:pStyle w:val="ListParagraph"/>
              <w:numPr>
                <w:ilvl w:val="0"/>
                <w:numId w:val="41"/>
              </w:numPr>
              <w:rPr>
                <w:rFonts w:ascii="Times New Roman" w:hAnsi="Times New Roman" w:cs="Times New Roman"/>
              </w:rPr>
            </w:pPr>
            <w:r w:rsidRPr="00F66630">
              <w:rPr>
                <w:rFonts w:ascii="Times New Roman" w:hAnsi="Times New Roman" w:cs="Times New Roman"/>
              </w:rPr>
              <w:t>The grounds for the removal of the Chief Executive of the agency</w:t>
            </w:r>
          </w:p>
          <w:p w14:paraId="7672C9A0" w14:textId="77777777" w:rsidR="00246F32" w:rsidRPr="00F66630" w:rsidRDefault="00246F32" w:rsidP="00D6290B">
            <w:pPr>
              <w:pStyle w:val="ListParagraph"/>
              <w:numPr>
                <w:ilvl w:val="0"/>
                <w:numId w:val="41"/>
              </w:numPr>
              <w:rPr>
                <w:rFonts w:ascii="Times New Roman" w:hAnsi="Times New Roman" w:cs="Times New Roman"/>
                <w:bCs/>
              </w:rPr>
            </w:pPr>
            <w:r w:rsidRPr="00F66630">
              <w:rPr>
                <w:rFonts w:ascii="Times New Roman" w:hAnsi="Times New Roman" w:cs="Times New Roman"/>
              </w:rPr>
              <w:t>Regarding the decisions of the Agency: Any other review after the Board’s decision should be by judicial review</w:t>
            </w:r>
          </w:p>
          <w:p w14:paraId="484DC602" w14:textId="32A2E4D7" w:rsidR="00246F32" w:rsidRPr="00F66630" w:rsidRDefault="00246F32" w:rsidP="00246F32">
            <w:pPr>
              <w:rPr>
                <w:rFonts w:ascii="Times New Roman" w:hAnsi="Times New Roman" w:cs="Times New Roman"/>
              </w:rPr>
            </w:pPr>
          </w:p>
        </w:tc>
      </w:tr>
      <w:tr w:rsidR="007D562A" w:rsidRPr="00F66630" w14:paraId="7ABD0523" w14:textId="77777777" w:rsidTr="00AF01BD">
        <w:trPr>
          <w:trHeight w:val="470"/>
        </w:trPr>
        <w:tc>
          <w:tcPr>
            <w:tcW w:w="1208" w:type="pct"/>
            <w:shd w:val="clear" w:color="auto" w:fill="FDE9D9" w:themeFill="accent6" w:themeFillTint="33"/>
          </w:tcPr>
          <w:p w14:paraId="0F60E18E" w14:textId="52D7CEAA" w:rsidR="007D562A" w:rsidRPr="00F66630" w:rsidRDefault="001A0310" w:rsidP="00DE4E0B">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792" w:type="pct"/>
            <w:shd w:val="clear" w:color="auto" w:fill="FDE9D9" w:themeFill="accent6" w:themeFillTint="33"/>
          </w:tcPr>
          <w:p w14:paraId="12B9BE0F" w14:textId="77777777" w:rsidR="007D562A" w:rsidRPr="00F66630" w:rsidRDefault="007D562A" w:rsidP="00DE4E0B">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8308E4" w:rsidRPr="00F66630" w14:paraId="45B552C3" w14:textId="77777777" w:rsidTr="00926EBE">
        <w:trPr>
          <w:trHeight w:val="70"/>
        </w:trPr>
        <w:tc>
          <w:tcPr>
            <w:tcW w:w="1208" w:type="pct"/>
          </w:tcPr>
          <w:p w14:paraId="0C21092B" w14:textId="77777777" w:rsidR="001E2F9C" w:rsidRPr="00F66630" w:rsidRDefault="00351E19" w:rsidP="008308E4">
            <w:pPr>
              <w:rPr>
                <w:rFonts w:ascii="Times New Roman" w:hAnsi="Times New Roman" w:cs="Times New Roman"/>
                <w:b/>
                <w:bCs/>
              </w:rPr>
            </w:pPr>
            <w:r w:rsidRPr="00F66630">
              <w:rPr>
                <w:rFonts w:ascii="Times New Roman" w:hAnsi="Times New Roman" w:cs="Times New Roman"/>
                <w:b/>
                <w:bCs/>
              </w:rPr>
              <w:t xml:space="preserve">Year 2020 </w:t>
            </w:r>
          </w:p>
          <w:p w14:paraId="68549B8C" w14:textId="77777777" w:rsidR="001E2F9C" w:rsidRPr="00F66630" w:rsidRDefault="001E2F9C" w:rsidP="008308E4">
            <w:pPr>
              <w:rPr>
                <w:rFonts w:ascii="Times New Roman" w:hAnsi="Times New Roman" w:cs="Times New Roman"/>
                <w:b/>
                <w:bCs/>
              </w:rPr>
            </w:pPr>
          </w:p>
          <w:p w14:paraId="0FCCAA30" w14:textId="77777777" w:rsidR="001E2F9C" w:rsidRPr="00F66630" w:rsidRDefault="001E2F9C" w:rsidP="001E2F9C">
            <w:pPr>
              <w:rPr>
                <w:rFonts w:ascii="Times New Roman" w:hAnsi="Times New Roman" w:cs="Times New Roman"/>
                <w:bCs/>
                <w:iCs/>
                <w:noProof/>
              </w:rPr>
            </w:pPr>
            <w:r w:rsidRPr="00F66630">
              <w:rPr>
                <w:rFonts w:ascii="Times New Roman" w:hAnsi="Times New Roman" w:cs="Times New Roman"/>
                <w:bCs/>
                <w:iCs/>
                <w:noProof/>
              </w:rPr>
              <w:t xml:space="preserve">6.2 </w:t>
            </w:r>
            <w:r w:rsidRPr="00F66630">
              <w:rPr>
                <w:rFonts w:ascii="Times New Roman" w:hAnsi="Times New Roman" w:cs="Times New Roman"/>
                <w:bCs/>
                <w:iCs/>
                <w:noProof/>
                <w:u w:val="single"/>
              </w:rPr>
              <w:t>Basic Target:</w:t>
            </w:r>
            <w:r w:rsidRPr="00F66630">
              <w:rPr>
                <w:rFonts w:ascii="Times New Roman" w:hAnsi="Times New Roman" w:cs="Times New Roman"/>
                <w:bCs/>
                <w:iCs/>
                <w:noProof/>
              </w:rPr>
              <w:t xml:space="preserve"> Framework contract for e-Procurement signed by 31 December 2020 AND Publish contract award information above a threshold set out in the State’s procurement law/regulation on a monthly basis in OCDS format on the state website or online portal if available. </w:t>
            </w:r>
          </w:p>
          <w:p w14:paraId="39A9A9B0" w14:textId="77777777" w:rsidR="001E2F9C" w:rsidRPr="00F66630" w:rsidRDefault="001E2F9C" w:rsidP="001E2F9C">
            <w:pPr>
              <w:rPr>
                <w:rFonts w:ascii="Times New Roman" w:hAnsi="Times New Roman" w:cs="Times New Roman"/>
                <w:bCs/>
                <w:iCs/>
                <w:noProof/>
              </w:rPr>
            </w:pPr>
          </w:p>
          <w:p w14:paraId="3CDF8BE5" w14:textId="41859E94" w:rsidR="001E2F9C" w:rsidRPr="00F66630" w:rsidRDefault="001E2F9C" w:rsidP="001E2F9C">
            <w:pPr>
              <w:rPr>
                <w:rFonts w:ascii="Times New Roman" w:hAnsi="Times New Roman" w:cs="Times New Roman"/>
                <w:bCs/>
                <w:iCs/>
                <w:noProof/>
              </w:rPr>
            </w:pPr>
            <w:r w:rsidRPr="00F66630">
              <w:rPr>
                <w:rFonts w:ascii="Times New Roman" w:hAnsi="Times New Roman" w:cs="Times New Roman"/>
                <w:bCs/>
                <w:iCs/>
                <w:noProof/>
              </w:rPr>
              <w:t xml:space="preserve">6.2 </w:t>
            </w:r>
            <w:r w:rsidRPr="00F66630">
              <w:rPr>
                <w:rFonts w:ascii="Times New Roman" w:hAnsi="Times New Roman" w:cs="Times New Roman"/>
                <w:bCs/>
                <w:iCs/>
                <w:noProof/>
                <w:u w:val="single"/>
              </w:rPr>
              <w:t>Stretch Target:</w:t>
            </w:r>
            <w:r w:rsidRPr="00F66630">
              <w:rPr>
                <w:rFonts w:ascii="Times New Roman" w:hAnsi="Times New Roman" w:cs="Times New Roman"/>
                <w:bCs/>
                <w:iCs/>
                <w:noProof/>
              </w:rPr>
              <w:t xml:space="preserve"> Implement e-Procurement in at least 3 MDAs (incl. Education, Health and Public Works) and publish all contract award information in OCDS format on the online portal for the 3 </w:t>
            </w:r>
            <w:r w:rsidRPr="00F66630">
              <w:rPr>
                <w:rFonts w:ascii="Times New Roman" w:hAnsi="Times New Roman" w:cs="Times New Roman"/>
                <w:bCs/>
                <w:iCs/>
                <w:noProof/>
              </w:rPr>
              <w:lastRenderedPageBreak/>
              <w:t xml:space="preserve">MDAs </w:t>
            </w:r>
          </w:p>
          <w:p w14:paraId="3E216450" w14:textId="77777777" w:rsidR="00926EBE" w:rsidRPr="00F66630" w:rsidRDefault="00926EBE" w:rsidP="001E2F9C">
            <w:pPr>
              <w:rPr>
                <w:rFonts w:ascii="Times New Roman" w:hAnsi="Times New Roman" w:cs="Times New Roman"/>
                <w:bCs/>
                <w:iCs/>
                <w:noProof/>
              </w:rPr>
            </w:pPr>
          </w:p>
          <w:p w14:paraId="6706AA8E" w14:textId="77777777" w:rsidR="001E2F9C" w:rsidRPr="00F66630" w:rsidRDefault="001E2F9C" w:rsidP="001E2F9C">
            <w:pPr>
              <w:rPr>
                <w:rFonts w:ascii="Times New Roman" w:hAnsi="Times New Roman" w:cs="Times New Roman"/>
                <w:bCs/>
                <w:iCs/>
                <w:noProof/>
              </w:rPr>
            </w:pPr>
            <w:r w:rsidRPr="00F66630">
              <w:rPr>
                <w:rFonts w:ascii="Times New Roman" w:hAnsi="Times New Roman" w:cs="Times New Roman"/>
                <w:bCs/>
                <w:iCs/>
                <w:noProof/>
              </w:rPr>
              <w:t xml:space="preserve">AND </w:t>
            </w:r>
          </w:p>
          <w:p w14:paraId="0375884E" w14:textId="05C9E5AD" w:rsidR="001E2F9C" w:rsidRPr="00F66630" w:rsidRDefault="001E2F9C" w:rsidP="001E2F9C">
            <w:pPr>
              <w:rPr>
                <w:rFonts w:ascii="Times New Roman" w:hAnsi="Times New Roman" w:cs="Times New Roman"/>
                <w:b/>
                <w:bCs/>
              </w:rPr>
            </w:pPr>
            <w:r w:rsidRPr="00F66630">
              <w:rPr>
                <w:rFonts w:ascii="Times New Roman" w:hAnsi="Times New Roman" w:cs="Times New Roman"/>
                <w:bCs/>
                <w:i/>
                <w:noProof/>
              </w:rPr>
              <w:t>For those MDAs without e-procurement:</w:t>
            </w:r>
            <w:r w:rsidRPr="00F66630">
              <w:rPr>
                <w:rFonts w:ascii="Times New Roman" w:hAnsi="Times New Roman" w:cs="Times New Roman"/>
                <w:bCs/>
                <w:iCs/>
                <w:noProof/>
              </w:rPr>
              <w:t xml:space="preserve"> Publish contract award information above a threshold set out in the State’s procurement law/regulation on a monthly basis in OCDS format on the state website or online portal if available</w:t>
            </w:r>
          </w:p>
          <w:p w14:paraId="05B1C484" w14:textId="3959641C" w:rsidR="001E2F9C" w:rsidRPr="00F66630" w:rsidRDefault="001E2F9C" w:rsidP="008308E4">
            <w:pPr>
              <w:rPr>
                <w:rFonts w:ascii="Times New Roman" w:hAnsi="Times New Roman" w:cs="Times New Roman"/>
                <w:b/>
                <w:bCs/>
              </w:rPr>
            </w:pPr>
          </w:p>
          <w:p w14:paraId="1804BC0B" w14:textId="0B68BCE4" w:rsidR="001E2F9C" w:rsidRPr="00F66630" w:rsidRDefault="001E2F9C" w:rsidP="001E2F9C">
            <w:pPr>
              <w:rPr>
                <w:rFonts w:ascii="Times New Roman" w:hAnsi="Times New Roman" w:cs="Times New Roman"/>
                <w:b/>
                <w:bCs/>
              </w:rPr>
            </w:pPr>
            <w:r w:rsidRPr="00F66630">
              <w:rPr>
                <w:rFonts w:ascii="Times New Roman" w:hAnsi="Times New Roman" w:cs="Times New Roman"/>
                <w:b/>
                <w:bCs/>
              </w:rPr>
              <w:t>Year 2021</w:t>
            </w:r>
          </w:p>
          <w:p w14:paraId="72E426FD" w14:textId="77777777" w:rsidR="006377CA" w:rsidRPr="00F66630" w:rsidRDefault="006377CA" w:rsidP="006377CA">
            <w:pPr>
              <w:rPr>
                <w:rFonts w:ascii="Times New Roman" w:eastAsia="Calibri" w:hAnsi="Times New Roman" w:cs="Times New Roman"/>
              </w:rPr>
            </w:pPr>
            <w:r w:rsidRPr="00F66630">
              <w:rPr>
                <w:rFonts w:ascii="Times New Roman" w:eastAsia="Calibri" w:hAnsi="Times New Roman" w:cs="Times New Roman"/>
              </w:rPr>
              <w:t>6.2 N</w:t>
            </w:r>
            <w:r w:rsidRPr="00F66630">
              <w:rPr>
                <w:rFonts w:ascii="Times New Roman" w:hAnsi="Times New Roman"/>
              </w:rPr>
              <w:t>o later than June 30, 2022, i</w:t>
            </w:r>
            <w:r w:rsidRPr="00F66630">
              <w:rPr>
                <w:rFonts w:ascii="Times New Roman" w:eastAsia="Calibri" w:hAnsi="Times New Roman" w:cs="Times New Roman"/>
              </w:rPr>
              <w:t xml:space="preserve">mplement e-procurement in at least 4 MDAs (incl. Education, </w:t>
            </w:r>
            <w:proofErr w:type="gramStart"/>
            <w:r w:rsidRPr="00F66630">
              <w:rPr>
                <w:rFonts w:ascii="Times New Roman" w:eastAsia="Calibri" w:hAnsi="Times New Roman" w:cs="Times New Roman"/>
              </w:rPr>
              <w:t>Health</w:t>
            </w:r>
            <w:proofErr w:type="gramEnd"/>
            <w:r w:rsidRPr="00F66630">
              <w:rPr>
                <w:rFonts w:ascii="Times New Roman" w:eastAsia="Calibri" w:hAnsi="Times New Roman" w:cs="Times New Roman"/>
              </w:rPr>
              <w:t xml:space="preserve"> and Public Works) </w:t>
            </w:r>
          </w:p>
          <w:p w14:paraId="35B89E0A" w14:textId="77777777" w:rsidR="006377CA" w:rsidRPr="00F66630" w:rsidRDefault="006377CA" w:rsidP="006377CA">
            <w:pPr>
              <w:rPr>
                <w:rFonts w:ascii="Times New Roman" w:eastAsia="Calibri" w:hAnsi="Times New Roman" w:cs="Times New Roman"/>
              </w:rPr>
            </w:pPr>
            <w:r w:rsidRPr="00F66630">
              <w:rPr>
                <w:rFonts w:ascii="Times New Roman" w:eastAsia="Calibri" w:hAnsi="Times New Roman" w:cs="Times New Roman"/>
              </w:rPr>
              <w:t xml:space="preserve">publish all contract award information in OCDS format on the online portal for the 4 MDAs </w:t>
            </w:r>
          </w:p>
          <w:p w14:paraId="0693AF4B" w14:textId="77777777" w:rsidR="006377CA" w:rsidRPr="00F66630" w:rsidRDefault="006377CA" w:rsidP="006377CA">
            <w:pPr>
              <w:rPr>
                <w:rFonts w:ascii="Times New Roman" w:eastAsia="Calibri" w:hAnsi="Times New Roman" w:cs="Times New Roman"/>
              </w:rPr>
            </w:pPr>
          </w:p>
          <w:p w14:paraId="6AB87290" w14:textId="77777777" w:rsidR="006377CA" w:rsidRPr="00F66630" w:rsidRDefault="006377CA" w:rsidP="006377CA">
            <w:pPr>
              <w:rPr>
                <w:rFonts w:ascii="Times New Roman" w:eastAsia="Calibri" w:hAnsi="Times New Roman" w:cs="Times New Roman"/>
              </w:rPr>
            </w:pPr>
            <w:r w:rsidRPr="00F66630">
              <w:rPr>
                <w:rFonts w:ascii="Times New Roman" w:eastAsia="Calibri" w:hAnsi="Times New Roman" w:cs="Times New Roman"/>
              </w:rPr>
              <w:t>AND</w:t>
            </w:r>
          </w:p>
          <w:p w14:paraId="410FDF7F" w14:textId="77777777" w:rsidR="006377CA" w:rsidRPr="00F66630" w:rsidRDefault="006377CA" w:rsidP="006377CA">
            <w:pPr>
              <w:rPr>
                <w:rFonts w:ascii="Times New Roman" w:eastAsia="Calibri" w:hAnsi="Times New Roman" w:cs="Times New Roman"/>
                <w:i/>
              </w:rPr>
            </w:pPr>
            <w:r w:rsidRPr="00F66630">
              <w:rPr>
                <w:rFonts w:ascii="Times New Roman" w:eastAsia="Calibri" w:hAnsi="Times New Roman" w:cs="Times New Roman"/>
                <w:i/>
              </w:rPr>
              <w:t>For those MDAs without e-procurement:</w:t>
            </w:r>
          </w:p>
          <w:p w14:paraId="35625286" w14:textId="18FDD52B" w:rsidR="001E2F9C" w:rsidRPr="00F66630" w:rsidRDefault="006377CA" w:rsidP="006377CA">
            <w:pPr>
              <w:rPr>
                <w:rFonts w:ascii="Times New Roman" w:hAnsi="Times New Roman" w:cs="Times New Roman"/>
                <w:b/>
                <w:bCs/>
              </w:rPr>
            </w:pPr>
            <w:r w:rsidRPr="00F66630">
              <w:rPr>
                <w:rFonts w:ascii="Times New Roman" w:eastAsia="Calibri" w:hAnsi="Times New Roman" w:cs="Times New Roman"/>
              </w:rPr>
              <w:t xml:space="preserve">Publish contract award information above a threshold set out in the State’s procurement law/regulation </w:t>
            </w:r>
            <w:proofErr w:type="gramStart"/>
            <w:r w:rsidRPr="00F66630">
              <w:rPr>
                <w:rFonts w:ascii="Times New Roman" w:eastAsia="Calibri" w:hAnsi="Times New Roman" w:cs="Times New Roman"/>
              </w:rPr>
              <w:t>on a monthly basis</w:t>
            </w:r>
            <w:proofErr w:type="gramEnd"/>
            <w:r w:rsidRPr="00F66630">
              <w:rPr>
                <w:rFonts w:ascii="Times New Roman" w:eastAsia="Calibri" w:hAnsi="Times New Roman" w:cs="Times New Roman"/>
              </w:rPr>
              <w:t xml:space="preserve"> in OCDS format on the state website or online portal if available</w:t>
            </w:r>
          </w:p>
          <w:p w14:paraId="73F9541D" w14:textId="77777777" w:rsidR="008308E4" w:rsidRPr="00F66630" w:rsidRDefault="008308E4" w:rsidP="008308E4">
            <w:pPr>
              <w:rPr>
                <w:rFonts w:ascii="Times New Roman" w:eastAsia="Times New Roman" w:hAnsi="Times New Roman" w:cs="Times New Roman"/>
                <w:bCs/>
              </w:rPr>
            </w:pPr>
          </w:p>
          <w:p w14:paraId="4FF9EB35" w14:textId="77777777" w:rsidR="00801BBE" w:rsidRPr="00F66630" w:rsidRDefault="00801BBE" w:rsidP="008308E4">
            <w:pPr>
              <w:rPr>
                <w:rFonts w:ascii="Times New Roman" w:eastAsia="Times New Roman" w:hAnsi="Times New Roman" w:cs="Times New Roman"/>
                <w:bCs/>
              </w:rPr>
            </w:pPr>
          </w:p>
          <w:p w14:paraId="26E4AB37" w14:textId="77777777" w:rsidR="00801BBE" w:rsidRPr="00F66630" w:rsidRDefault="00801BBE" w:rsidP="008308E4">
            <w:pPr>
              <w:rPr>
                <w:rFonts w:ascii="Times New Roman" w:eastAsia="Times New Roman" w:hAnsi="Times New Roman" w:cs="Times New Roman"/>
                <w:bCs/>
              </w:rPr>
            </w:pPr>
          </w:p>
          <w:p w14:paraId="7F433EEC" w14:textId="77777777" w:rsidR="00801BBE" w:rsidRPr="00F66630" w:rsidRDefault="00801BBE" w:rsidP="008308E4">
            <w:pPr>
              <w:rPr>
                <w:rFonts w:ascii="Times New Roman" w:eastAsia="Times New Roman" w:hAnsi="Times New Roman" w:cs="Times New Roman"/>
                <w:bCs/>
              </w:rPr>
            </w:pPr>
          </w:p>
          <w:p w14:paraId="4B01A51C" w14:textId="2D8916FA" w:rsidR="00801BBE" w:rsidRPr="00F66630" w:rsidRDefault="00801BBE" w:rsidP="008308E4">
            <w:pPr>
              <w:rPr>
                <w:rFonts w:ascii="Times New Roman" w:eastAsia="Times New Roman" w:hAnsi="Times New Roman" w:cs="Times New Roman"/>
                <w:bCs/>
              </w:rPr>
            </w:pPr>
          </w:p>
        </w:tc>
        <w:tc>
          <w:tcPr>
            <w:tcW w:w="3792" w:type="pct"/>
          </w:tcPr>
          <w:p w14:paraId="1870C0EE" w14:textId="34600678" w:rsidR="00801BBE" w:rsidRPr="00F66630" w:rsidRDefault="00801BBE" w:rsidP="00801BBE">
            <w:pPr>
              <w:rPr>
                <w:rFonts w:ascii="Times New Roman" w:hAnsi="Times New Roman" w:cs="Times New Roman"/>
                <w:b/>
                <w:bCs/>
              </w:rPr>
            </w:pPr>
            <w:r w:rsidRPr="00F66630">
              <w:rPr>
                <w:rFonts w:ascii="Times New Roman" w:hAnsi="Times New Roman" w:cs="Times New Roman"/>
                <w:b/>
                <w:bCs/>
              </w:rPr>
              <w:lastRenderedPageBreak/>
              <w:t xml:space="preserve">Year 2020 </w:t>
            </w:r>
          </w:p>
          <w:p w14:paraId="2C9CDA55" w14:textId="77777777" w:rsidR="00801BBE" w:rsidRPr="00F66630" w:rsidRDefault="00801BBE" w:rsidP="008308E4">
            <w:pPr>
              <w:rPr>
                <w:rFonts w:ascii="Times New Roman" w:hAnsi="Times New Roman" w:cs="Times New Roman"/>
              </w:rPr>
            </w:pPr>
          </w:p>
          <w:p w14:paraId="164B9642" w14:textId="7DF4E69A" w:rsidR="0008643A" w:rsidRPr="00F66630" w:rsidRDefault="0008643A" w:rsidP="00FE6FE3">
            <w:pPr>
              <w:pStyle w:val="ListParagraph"/>
              <w:numPr>
                <w:ilvl w:val="0"/>
                <w:numId w:val="124"/>
              </w:numPr>
              <w:ind w:left="360"/>
              <w:rPr>
                <w:rFonts w:ascii="Times New Roman" w:hAnsi="Times New Roman" w:cs="Times New Roman"/>
              </w:rPr>
            </w:pPr>
            <w:r w:rsidRPr="00F66630">
              <w:rPr>
                <w:rFonts w:ascii="Times New Roman" w:hAnsi="Times New Roman" w:cs="Times New Roman"/>
                <w:b/>
                <w:bCs/>
              </w:rPr>
              <w:t xml:space="preserve">To achieve the </w:t>
            </w:r>
            <w:r w:rsidR="00586383" w:rsidRPr="00F66630">
              <w:rPr>
                <w:rFonts w:ascii="Times New Roman" w:hAnsi="Times New Roman" w:cs="Times New Roman"/>
                <w:b/>
                <w:bCs/>
              </w:rPr>
              <w:t xml:space="preserve">e-procurement component of the DLI for </w:t>
            </w:r>
            <w:r w:rsidRPr="00F66630">
              <w:rPr>
                <w:rFonts w:ascii="Times New Roman" w:hAnsi="Times New Roman" w:cs="Times New Roman"/>
                <w:b/>
                <w:bCs/>
              </w:rPr>
              <w:t xml:space="preserve">2020 </w:t>
            </w:r>
            <w:r w:rsidR="00FE6FE3" w:rsidRPr="00F66630">
              <w:rPr>
                <w:rFonts w:ascii="Times New Roman" w:hAnsi="Times New Roman" w:cs="Times New Roman"/>
                <w:b/>
                <w:bCs/>
                <w:i/>
                <w:iCs/>
              </w:rPr>
              <w:t>Ba</w:t>
            </w:r>
            <w:r w:rsidRPr="00F66630">
              <w:rPr>
                <w:rFonts w:ascii="Times New Roman" w:hAnsi="Times New Roman" w:cs="Times New Roman"/>
                <w:b/>
                <w:bCs/>
                <w:i/>
                <w:iCs/>
              </w:rPr>
              <w:t xml:space="preserve">sic </w:t>
            </w:r>
            <w:r w:rsidR="00FE6FE3" w:rsidRPr="00F66630">
              <w:rPr>
                <w:rFonts w:ascii="Times New Roman" w:hAnsi="Times New Roman" w:cs="Times New Roman"/>
                <w:b/>
                <w:bCs/>
                <w:i/>
                <w:iCs/>
              </w:rPr>
              <w:t>T</w:t>
            </w:r>
            <w:r w:rsidRPr="00F66630">
              <w:rPr>
                <w:rFonts w:ascii="Times New Roman" w:hAnsi="Times New Roman" w:cs="Times New Roman"/>
                <w:b/>
                <w:bCs/>
                <w:i/>
                <w:iCs/>
              </w:rPr>
              <w:t>arget</w:t>
            </w:r>
            <w:r w:rsidRPr="00F66630">
              <w:rPr>
                <w:rFonts w:ascii="Times New Roman" w:hAnsi="Times New Roman" w:cs="Times New Roman"/>
              </w:rPr>
              <w:t xml:space="preserve">, </w:t>
            </w:r>
            <w:r w:rsidR="00FE6FE3" w:rsidRPr="00F66630">
              <w:rPr>
                <w:rFonts w:ascii="Times New Roman" w:hAnsi="Times New Roman" w:cs="Times New Roman"/>
              </w:rPr>
              <w:t>S</w:t>
            </w:r>
            <w:r w:rsidRPr="00F66630">
              <w:rPr>
                <w:rFonts w:ascii="Times New Roman" w:hAnsi="Times New Roman" w:cs="Times New Roman"/>
              </w:rPr>
              <w:t>tates will have to sign up to the SaaS e-Procurement Framework Contract.</w:t>
            </w:r>
          </w:p>
          <w:p w14:paraId="373F9BC8" w14:textId="77777777" w:rsidR="002D3624" w:rsidRPr="00F66630" w:rsidRDefault="002D3624" w:rsidP="002D3624">
            <w:pPr>
              <w:pStyle w:val="ListParagraph"/>
              <w:ind w:left="360"/>
              <w:rPr>
                <w:rFonts w:ascii="Times New Roman" w:hAnsi="Times New Roman" w:cs="Times New Roman"/>
              </w:rPr>
            </w:pPr>
          </w:p>
          <w:p w14:paraId="08045B99" w14:textId="5D1D0A60" w:rsidR="0008643A" w:rsidRPr="00F66630" w:rsidRDefault="0008643A" w:rsidP="00265458">
            <w:pPr>
              <w:pStyle w:val="ListParagraph"/>
              <w:numPr>
                <w:ilvl w:val="0"/>
                <w:numId w:val="124"/>
              </w:numPr>
              <w:ind w:left="360"/>
              <w:rPr>
                <w:rFonts w:ascii="Times New Roman" w:hAnsi="Times New Roman" w:cs="Times New Roman"/>
              </w:rPr>
            </w:pPr>
            <w:r w:rsidRPr="00F66630">
              <w:rPr>
                <w:rFonts w:ascii="Times New Roman" w:hAnsi="Times New Roman" w:cs="Times New Roman"/>
                <w:b/>
                <w:bCs/>
              </w:rPr>
              <w:t xml:space="preserve">To achieve the e-procurement component of the DLI for 2020 </w:t>
            </w:r>
            <w:r w:rsidRPr="00F66630">
              <w:rPr>
                <w:rFonts w:ascii="Times New Roman" w:hAnsi="Times New Roman" w:cs="Times New Roman"/>
                <w:b/>
                <w:bCs/>
                <w:i/>
                <w:iCs/>
              </w:rPr>
              <w:t>Stretch target</w:t>
            </w:r>
            <w:r w:rsidRPr="00F66630">
              <w:rPr>
                <w:rFonts w:ascii="Times New Roman" w:hAnsi="Times New Roman" w:cs="Times New Roman"/>
                <w:b/>
                <w:bCs/>
              </w:rPr>
              <w:t>,</w:t>
            </w:r>
            <w:r w:rsidRPr="00F66630">
              <w:rPr>
                <w:rFonts w:ascii="Times New Roman" w:hAnsi="Times New Roman" w:cs="Times New Roman"/>
              </w:rPr>
              <w:t xml:space="preserve"> </w:t>
            </w:r>
            <w:r w:rsidR="00586383" w:rsidRPr="00F66630">
              <w:rPr>
                <w:rFonts w:ascii="Times New Roman" w:hAnsi="Times New Roman" w:cs="Times New Roman"/>
              </w:rPr>
              <w:t>S</w:t>
            </w:r>
            <w:r w:rsidRPr="00F66630">
              <w:rPr>
                <w:rFonts w:ascii="Times New Roman" w:hAnsi="Times New Roman" w:cs="Times New Roman"/>
              </w:rPr>
              <w:t xml:space="preserve">tates will have to implement e-procurement in at least 3 MDAs (including Education, </w:t>
            </w:r>
            <w:proofErr w:type="gramStart"/>
            <w:r w:rsidRPr="00F66630">
              <w:rPr>
                <w:rFonts w:ascii="Times New Roman" w:hAnsi="Times New Roman" w:cs="Times New Roman"/>
              </w:rPr>
              <w:t>Health</w:t>
            </w:r>
            <w:proofErr w:type="gramEnd"/>
            <w:r w:rsidRPr="00F66630">
              <w:rPr>
                <w:rFonts w:ascii="Times New Roman" w:hAnsi="Times New Roman" w:cs="Times New Roman"/>
              </w:rPr>
              <w:t xml:space="preserve"> and Public Works). E-Procurement for the 2020 </w:t>
            </w:r>
            <w:r w:rsidR="00527B58" w:rsidRPr="00F66630">
              <w:rPr>
                <w:rFonts w:ascii="Times New Roman" w:hAnsi="Times New Roman" w:cs="Times New Roman"/>
              </w:rPr>
              <w:t>DLR/</w:t>
            </w:r>
            <w:r w:rsidRPr="00F66630">
              <w:rPr>
                <w:rFonts w:ascii="Times New Roman" w:hAnsi="Times New Roman" w:cs="Times New Roman"/>
              </w:rPr>
              <w:t xml:space="preserve">result is implementation of </w:t>
            </w:r>
            <w:r w:rsidR="00701C97" w:rsidRPr="00F66630">
              <w:rPr>
                <w:rFonts w:ascii="Times New Roman" w:hAnsi="Times New Roman" w:cs="Times New Roman"/>
              </w:rPr>
              <w:t xml:space="preserve">the </w:t>
            </w:r>
            <w:r w:rsidRPr="00F66630">
              <w:rPr>
                <w:rFonts w:ascii="Times New Roman" w:hAnsi="Times New Roman" w:cs="Times New Roman"/>
              </w:rPr>
              <w:t>e-Publishing/Notification module for contract notice and contract award.</w:t>
            </w:r>
            <w:r w:rsidR="00B21DD6" w:rsidRPr="00F66630">
              <w:rPr>
                <w:rFonts w:ascii="Times New Roman" w:hAnsi="Times New Roman" w:cs="Times New Roman"/>
              </w:rPr>
              <w:t xml:space="preserve"> </w:t>
            </w:r>
            <w:r w:rsidR="00265458" w:rsidRPr="00F66630">
              <w:rPr>
                <w:rFonts w:ascii="Times New Roman" w:hAnsi="Times New Roman" w:cs="Times New Roman"/>
              </w:rPr>
              <w:t>E-Procurement i</w:t>
            </w:r>
            <w:r w:rsidR="00006414" w:rsidRPr="00F66630">
              <w:rPr>
                <w:rFonts w:ascii="Times New Roman" w:hAnsi="Times New Roman" w:cs="Times New Roman"/>
              </w:rPr>
              <w:t xml:space="preserve">mplementation </w:t>
            </w:r>
            <w:r w:rsidR="00265458" w:rsidRPr="00F66630">
              <w:rPr>
                <w:rFonts w:ascii="Times New Roman" w:hAnsi="Times New Roman" w:cs="Times New Roman"/>
              </w:rPr>
              <w:t>for the 2020 Stretch target means having</w:t>
            </w:r>
            <w:r w:rsidR="00006414" w:rsidRPr="00F66630">
              <w:rPr>
                <w:rFonts w:ascii="Times New Roman" w:hAnsi="Times New Roman" w:cs="Times New Roman"/>
              </w:rPr>
              <w:t xml:space="preserve"> “gone live” </w:t>
            </w:r>
            <w:r w:rsidR="00265458" w:rsidRPr="00F66630">
              <w:rPr>
                <w:rFonts w:ascii="Times New Roman" w:hAnsi="Times New Roman" w:cs="Times New Roman"/>
              </w:rPr>
              <w:t xml:space="preserve">with the Publishing/Notification module </w:t>
            </w:r>
            <w:r w:rsidR="00FA2478" w:rsidRPr="00F66630">
              <w:rPr>
                <w:rFonts w:ascii="Times New Roman" w:hAnsi="Times New Roman" w:cs="Times New Roman"/>
              </w:rPr>
              <w:t xml:space="preserve">meaning it was </w:t>
            </w:r>
            <w:r w:rsidR="00006414" w:rsidRPr="00F66630">
              <w:rPr>
                <w:rFonts w:ascii="Times New Roman" w:hAnsi="Times New Roman" w:cs="Times New Roman"/>
              </w:rPr>
              <w:t>functional and ready to process transactions by 31 December 202</w:t>
            </w:r>
            <w:r w:rsidR="00265458" w:rsidRPr="00F66630">
              <w:rPr>
                <w:rFonts w:ascii="Times New Roman" w:hAnsi="Times New Roman" w:cs="Times New Roman"/>
              </w:rPr>
              <w:t>0</w:t>
            </w:r>
            <w:r w:rsidR="00FA2478" w:rsidRPr="00F66630">
              <w:rPr>
                <w:rFonts w:ascii="Times New Roman" w:hAnsi="Times New Roman" w:cs="Times New Roman"/>
              </w:rPr>
              <w:t xml:space="preserve"> in at least 3 MDAs (</w:t>
            </w:r>
            <w:r w:rsidR="008C5550" w:rsidRPr="00F66630">
              <w:rPr>
                <w:rFonts w:ascii="Times New Roman" w:hAnsi="Times New Roman" w:cs="Times New Roman"/>
              </w:rPr>
              <w:t xml:space="preserve">including Education, </w:t>
            </w:r>
            <w:proofErr w:type="gramStart"/>
            <w:r w:rsidR="008C5550" w:rsidRPr="00F66630">
              <w:rPr>
                <w:rFonts w:ascii="Times New Roman" w:hAnsi="Times New Roman" w:cs="Times New Roman"/>
              </w:rPr>
              <w:t>Health</w:t>
            </w:r>
            <w:proofErr w:type="gramEnd"/>
            <w:r w:rsidR="008C5550" w:rsidRPr="00F66630">
              <w:rPr>
                <w:rFonts w:ascii="Times New Roman" w:hAnsi="Times New Roman" w:cs="Times New Roman"/>
              </w:rPr>
              <w:t xml:space="preserve"> and Public Works)</w:t>
            </w:r>
            <w:r w:rsidR="00006414" w:rsidRPr="00F66630">
              <w:rPr>
                <w:rFonts w:ascii="Times New Roman" w:hAnsi="Times New Roman" w:cs="Times New Roman"/>
              </w:rPr>
              <w:t>.</w:t>
            </w:r>
          </w:p>
          <w:p w14:paraId="0560A673" w14:textId="77777777" w:rsidR="0008643A" w:rsidRPr="00F66630" w:rsidRDefault="0008643A" w:rsidP="00FE6FE3">
            <w:pPr>
              <w:rPr>
                <w:rFonts w:ascii="Times New Roman" w:hAnsi="Times New Roman" w:cs="Times New Roman"/>
              </w:rPr>
            </w:pPr>
          </w:p>
          <w:p w14:paraId="095AA778" w14:textId="0C88A6EF" w:rsidR="008E4F0D" w:rsidRPr="00F66630" w:rsidRDefault="008E4F0D" w:rsidP="008E4F0D">
            <w:pPr>
              <w:pStyle w:val="ListParagraph"/>
              <w:numPr>
                <w:ilvl w:val="0"/>
                <w:numId w:val="124"/>
              </w:numPr>
              <w:ind w:left="360"/>
              <w:rPr>
                <w:rFonts w:ascii="Times New Roman" w:hAnsi="Times New Roman" w:cs="Times New Roman"/>
                <w:i/>
                <w:iCs/>
              </w:rPr>
            </w:pPr>
            <w:r w:rsidRPr="00F66630">
              <w:rPr>
                <w:rFonts w:ascii="Times New Roman" w:hAnsi="Times New Roman" w:cs="Times New Roman"/>
                <w:b/>
                <w:bCs/>
              </w:rPr>
              <w:t>For MDAs with e-Procurement</w:t>
            </w:r>
            <w:r w:rsidR="00361D36" w:rsidRPr="00F66630">
              <w:rPr>
                <w:rFonts w:ascii="Times New Roman" w:hAnsi="Times New Roman" w:cs="Times New Roman"/>
              </w:rPr>
              <w:t>:</w:t>
            </w:r>
            <w:r w:rsidRPr="00F66630">
              <w:rPr>
                <w:rFonts w:ascii="Times New Roman" w:hAnsi="Times New Roman" w:cs="Times New Roman"/>
              </w:rPr>
              <w:t xml:space="preserve"> States will have to have an online portal established to record and publish data on all the various processes in the procurement cycle, for all contracts awarded </w:t>
            </w:r>
            <w:r w:rsidR="00A23F5B" w:rsidRPr="00F66630">
              <w:rPr>
                <w:rFonts w:ascii="Times New Roman" w:hAnsi="Times New Roman" w:cs="Times New Roman"/>
              </w:rPr>
              <w:t>through e-Procurement after the go-live</w:t>
            </w:r>
            <w:r w:rsidR="00A23F5B" w:rsidRPr="00F66630">
              <w:rPr>
                <w:rFonts w:ascii="Times New Roman" w:hAnsi="Times New Roman" w:cs="Times New Roman"/>
                <w:i/>
                <w:iCs/>
              </w:rPr>
              <w:t xml:space="preserve"> </w:t>
            </w:r>
            <w:r w:rsidRPr="00F66630">
              <w:rPr>
                <w:rFonts w:ascii="Times New Roman" w:hAnsi="Times New Roman" w:cs="Times New Roman"/>
              </w:rPr>
              <w:t xml:space="preserve">during the fiscal year that are in line with the Open Contracting Data Standards (OCDS). </w:t>
            </w:r>
            <w:r w:rsidR="00EE41AA" w:rsidRPr="00F66630">
              <w:rPr>
                <w:rFonts w:ascii="Times New Roman" w:hAnsi="Times New Roman" w:cs="Times New Roman"/>
                <w:i/>
                <w:iCs/>
              </w:rPr>
              <w:t>For those contracts awarded before the go-live</w:t>
            </w:r>
            <w:r w:rsidR="004B7499" w:rsidRPr="00F66630">
              <w:rPr>
                <w:rFonts w:ascii="Times New Roman" w:hAnsi="Times New Roman" w:cs="Times New Roman"/>
                <w:i/>
                <w:iCs/>
              </w:rPr>
              <w:t xml:space="preserve"> during the fiscal year</w:t>
            </w:r>
            <w:r w:rsidR="00EE41AA" w:rsidRPr="00F66630">
              <w:rPr>
                <w:rFonts w:ascii="Times New Roman" w:hAnsi="Times New Roman" w:cs="Times New Roman"/>
                <w:i/>
                <w:iCs/>
              </w:rPr>
              <w:t xml:space="preserve">, </w:t>
            </w:r>
            <w:r w:rsidR="004B7499" w:rsidRPr="00F66630">
              <w:rPr>
                <w:rFonts w:ascii="Times New Roman" w:hAnsi="Times New Roman" w:cs="Times New Roman"/>
                <w:i/>
                <w:iCs/>
              </w:rPr>
              <w:t>S</w:t>
            </w:r>
            <w:r w:rsidR="00EE41AA" w:rsidRPr="00F66630">
              <w:rPr>
                <w:rFonts w:ascii="Times New Roman" w:hAnsi="Times New Roman" w:cs="Times New Roman"/>
                <w:i/>
                <w:iCs/>
              </w:rPr>
              <w:t xml:space="preserve">tates will have to publish all contracts awarded during the fiscal year that are above the threshold </w:t>
            </w:r>
            <w:r w:rsidR="004B7499" w:rsidRPr="00F66630">
              <w:rPr>
                <w:rFonts w:ascii="Times New Roman" w:hAnsi="Times New Roman" w:cs="Times New Roman"/>
                <w:i/>
                <w:iCs/>
              </w:rPr>
              <w:t>(</w:t>
            </w:r>
            <w:r w:rsidR="00EE41AA" w:rsidRPr="00F66630">
              <w:rPr>
                <w:rFonts w:ascii="Times New Roman" w:hAnsi="Times New Roman" w:cs="Times New Roman"/>
                <w:i/>
                <w:iCs/>
              </w:rPr>
              <w:t>as defined in the state procurement law or in the state procurement regulation(s)</w:t>
            </w:r>
            <w:r w:rsidR="004B7499" w:rsidRPr="00F66630">
              <w:rPr>
                <w:rFonts w:ascii="Times New Roman" w:hAnsi="Times New Roman" w:cs="Times New Roman"/>
                <w:i/>
                <w:iCs/>
              </w:rPr>
              <w:t>)</w:t>
            </w:r>
            <w:r w:rsidR="00EE41AA" w:rsidRPr="00F66630">
              <w:rPr>
                <w:rFonts w:ascii="Times New Roman" w:hAnsi="Times New Roman" w:cs="Times New Roman"/>
                <w:i/>
                <w:iCs/>
              </w:rPr>
              <w:t xml:space="preserve">, in line with the Open Contracting Data Standards (OCDS) on the state official </w:t>
            </w:r>
            <w:r w:rsidR="00EE41AA" w:rsidRPr="00F66630">
              <w:rPr>
                <w:rFonts w:ascii="Times New Roman" w:hAnsi="Times New Roman" w:cs="Times New Roman"/>
                <w:i/>
                <w:iCs/>
              </w:rPr>
              <w:lastRenderedPageBreak/>
              <w:t>website or online portal if already established</w:t>
            </w:r>
            <w:r w:rsidR="004B7499" w:rsidRPr="00F66630">
              <w:rPr>
                <w:rFonts w:ascii="Times New Roman" w:hAnsi="Times New Roman" w:cs="Times New Roman"/>
                <w:i/>
                <w:iCs/>
              </w:rPr>
              <w:t>.</w:t>
            </w:r>
          </w:p>
          <w:p w14:paraId="45536CAF" w14:textId="77777777" w:rsidR="001A0758" w:rsidRPr="00F66630" w:rsidRDefault="001A0758" w:rsidP="001A0758">
            <w:pPr>
              <w:pStyle w:val="ListParagraph"/>
              <w:rPr>
                <w:rFonts w:ascii="Times New Roman" w:hAnsi="Times New Roman" w:cs="Times New Roman"/>
                <w:i/>
                <w:iCs/>
              </w:rPr>
            </w:pPr>
          </w:p>
          <w:p w14:paraId="64A0F3F0" w14:textId="1D82361F" w:rsidR="008E4F0D" w:rsidRPr="00F66630" w:rsidRDefault="008E4F0D" w:rsidP="008E4F0D">
            <w:pPr>
              <w:pStyle w:val="ListParagraph"/>
              <w:numPr>
                <w:ilvl w:val="0"/>
                <w:numId w:val="124"/>
              </w:numPr>
              <w:ind w:left="360"/>
              <w:rPr>
                <w:rFonts w:ascii="Times New Roman" w:hAnsi="Times New Roman" w:cs="Times New Roman"/>
              </w:rPr>
            </w:pPr>
            <w:r w:rsidRPr="00F66630">
              <w:rPr>
                <w:rFonts w:ascii="Times New Roman" w:hAnsi="Times New Roman" w:cs="Times New Roman"/>
                <w:b/>
                <w:bCs/>
              </w:rPr>
              <w:t>For MDAs without e-Procurement</w:t>
            </w:r>
            <w:r w:rsidR="000D574C" w:rsidRPr="00F66630">
              <w:rPr>
                <w:rFonts w:ascii="Times New Roman" w:hAnsi="Times New Roman" w:cs="Times New Roman"/>
                <w:b/>
                <w:bCs/>
              </w:rPr>
              <w:t>:</w:t>
            </w:r>
            <w:r w:rsidRPr="00F66630">
              <w:rPr>
                <w:rFonts w:ascii="Times New Roman" w:hAnsi="Times New Roman" w:cs="Times New Roman"/>
              </w:rPr>
              <w:t xml:space="preserve"> States will have published contract award information</w:t>
            </w:r>
            <w:r w:rsidR="00E75073" w:rsidRPr="00F66630">
              <w:rPr>
                <w:rFonts w:ascii="Times New Roman" w:hAnsi="Times New Roman" w:cs="Times New Roman"/>
              </w:rPr>
              <w:t>*</w:t>
            </w:r>
            <w:r w:rsidRPr="00F66630">
              <w:rPr>
                <w:rFonts w:ascii="Times New Roman" w:hAnsi="Times New Roman" w:cs="Times New Roman"/>
              </w:rPr>
              <w:t xml:space="preserve"> for all contracts awarded during the fiscal year that are above the threshold (as defined in the state procurement law or in the state procurement regulation(s)</w:t>
            </w:r>
            <w:r w:rsidR="004B7499" w:rsidRPr="00F66630">
              <w:rPr>
                <w:rFonts w:ascii="Times New Roman" w:hAnsi="Times New Roman" w:cs="Times New Roman"/>
              </w:rPr>
              <w:t>)</w:t>
            </w:r>
            <w:r w:rsidRPr="00F66630">
              <w:rPr>
                <w:rFonts w:ascii="Times New Roman" w:hAnsi="Times New Roman" w:cs="Times New Roman"/>
              </w:rPr>
              <w:t xml:space="preserve">, in line with the Open Contracting Data Standards (OCDS) on the state official website** or online portal if already established. </w:t>
            </w:r>
          </w:p>
          <w:p w14:paraId="34557846" w14:textId="77777777" w:rsidR="004C2E8E" w:rsidRPr="00F66630" w:rsidRDefault="004C2E8E" w:rsidP="00FE6FE3">
            <w:pPr>
              <w:rPr>
                <w:rFonts w:ascii="Times New Roman" w:hAnsi="Times New Roman" w:cs="Times New Roman"/>
                <w:i/>
                <w:iCs/>
              </w:rPr>
            </w:pPr>
          </w:p>
          <w:p w14:paraId="199D2306" w14:textId="3706F78B" w:rsidR="004801EF" w:rsidRPr="00F66630" w:rsidRDefault="004801EF" w:rsidP="00FE6FE3">
            <w:pPr>
              <w:rPr>
                <w:rFonts w:ascii="Times New Roman" w:hAnsi="Times New Roman" w:cs="Times New Roman"/>
                <w:i/>
                <w:iCs/>
              </w:rPr>
            </w:pPr>
            <w:r w:rsidRPr="00F66630">
              <w:rPr>
                <w:rFonts w:ascii="Times New Roman" w:hAnsi="Times New Roman" w:cs="Times New Roman"/>
                <w:i/>
                <w:iCs/>
              </w:rPr>
              <w:t>*The minimum contract award information to be published (i) Project name, (</w:t>
            </w:r>
            <w:r w:rsidR="00D46622" w:rsidRPr="00F66630">
              <w:rPr>
                <w:rFonts w:ascii="Times New Roman" w:hAnsi="Times New Roman" w:cs="Times New Roman"/>
                <w:i/>
                <w:iCs/>
              </w:rPr>
              <w:t>ii</w:t>
            </w:r>
            <w:r w:rsidRPr="00F66630">
              <w:rPr>
                <w:rFonts w:ascii="Times New Roman" w:hAnsi="Times New Roman" w:cs="Times New Roman"/>
                <w:i/>
                <w:iCs/>
              </w:rPr>
              <w:t xml:space="preserve">) awarding institution, (iii) award date, (iv) name of contractor, and (v) contract amount. **If the contract award information is published on the state official website, the information must be accessible to the public.  </w:t>
            </w:r>
          </w:p>
          <w:p w14:paraId="215367B0" w14:textId="0ECE90F4" w:rsidR="007B7977" w:rsidRPr="00F66630" w:rsidRDefault="007B7977" w:rsidP="00FE6FE3">
            <w:pPr>
              <w:rPr>
                <w:rFonts w:ascii="Times New Roman" w:hAnsi="Times New Roman" w:cs="Times New Roman"/>
              </w:rPr>
            </w:pPr>
          </w:p>
          <w:p w14:paraId="259BA367" w14:textId="77777777" w:rsidR="001A0758" w:rsidRPr="00F66630" w:rsidRDefault="001A0758" w:rsidP="00FE6FE3">
            <w:pPr>
              <w:rPr>
                <w:rFonts w:ascii="Times New Roman" w:hAnsi="Times New Roman" w:cs="Times New Roman"/>
              </w:rPr>
            </w:pPr>
          </w:p>
          <w:p w14:paraId="1916124E" w14:textId="1BCA485B" w:rsidR="00801BBE" w:rsidRPr="00F66630" w:rsidRDefault="00801BBE" w:rsidP="00801BBE">
            <w:pPr>
              <w:rPr>
                <w:rFonts w:ascii="Times New Roman" w:hAnsi="Times New Roman" w:cs="Times New Roman"/>
                <w:b/>
                <w:bCs/>
              </w:rPr>
            </w:pPr>
            <w:r w:rsidRPr="00F66630">
              <w:rPr>
                <w:rFonts w:ascii="Times New Roman" w:hAnsi="Times New Roman" w:cs="Times New Roman"/>
                <w:b/>
                <w:bCs/>
              </w:rPr>
              <w:t>Year 2021</w:t>
            </w:r>
          </w:p>
          <w:p w14:paraId="29AF713C" w14:textId="2BDF220D" w:rsidR="00813DA6" w:rsidRPr="00F66630" w:rsidRDefault="0008643A" w:rsidP="00DB4DFE">
            <w:pPr>
              <w:pStyle w:val="ListParagraph"/>
              <w:numPr>
                <w:ilvl w:val="0"/>
                <w:numId w:val="124"/>
              </w:numPr>
              <w:ind w:left="360"/>
              <w:rPr>
                <w:rFonts w:ascii="Times New Roman" w:hAnsi="Times New Roman" w:cs="Times New Roman"/>
              </w:rPr>
            </w:pPr>
            <w:r w:rsidRPr="00F66630">
              <w:rPr>
                <w:rFonts w:ascii="Times New Roman" w:hAnsi="Times New Roman" w:cs="Times New Roman"/>
                <w:b/>
                <w:bCs/>
              </w:rPr>
              <w:t>To achieve the e-procurement component of the DLI for 2021</w:t>
            </w:r>
            <w:r w:rsidRPr="00F66630">
              <w:rPr>
                <w:rFonts w:ascii="Times New Roman" w:hAnsi="Times New Roman" w:cs="Times New Roman"/>
              </w:rPr>
              <w:t xml:space="preserve">, </w:t>
            </w:r>
            <w:r w:rsidR="00F92714" w:rsidRPr="00F66630">
              <w:rPr>
                <w:rFonts w:ascii="Times New Roman" w:hAnsi="Times New Roman" w:cs="Times New Roman"/>
              </w:rPr>
              <w:t>S</w:t>
            </w:r>
            <w:r w:rsidRPr="00F66630">
              <w:rPr>
                <w:rFonts w:ascii="Times New Roman" w:hAnsi="Times New Roman" w:cs="Times New Roman"/>
              </w:rPr>
              <w:t>tates will have to implement e-</w:t>
            </w:r>
            <w:r w:rsidR="00F92714" w:rsidRPr="00F66630">
              <w:rPr>
                <w:rFonts w:ascii="Times New Roman" w:hAnsi="Times New Roman" w:cs="Times New Roman"/>
              </w:rPr>
              <w:t>P</w:t>
            </w:r>
            <w:r w:rsidRPr="00F66630">
              <w:rPr>
                <w:rFonts w:ascii="Times New Roman" w:hAnsi="Times New Roman" w:cs="Times New Roman"/>
              </w:rPr>
              <w:t xml:space="preserve">rocurement in at least 4 MDAs (including Education, </w:t>
            </w:r>
            <w:proofErr w:type="gramStart"/>
            <w:r w:rsidRPr="00F66630">
              <w:rPr>
                <w:rFonts w:ascii="Times New Roman" w:hAnsi="Times New Roman" w:cs="Times New Roman"/>
              </w:rPr>
              <w:t>Health</w:t>
            </w:r>
            <w:proofErr w:type="gramEnd"/>
            <w:r w:rsidRPr="00F66630">
              <w:rPr>
                <w:rFonts w:ascii="Times New Roman" w:hAnsi="Times New Roman" w:cs="Times New Roman"/>
              </w:rPr>
              <w:t xml:space="preserve"> and Public Works). E-Procurement for </w:t>
            </w:r>
            <w:r w:rsidR="00F92714" w:rsidRPr="00F66630">
              <w:rPr>
                <w:rFonts w:ascii="Times New Roman" w:hAnsi="Times New Roman" w:cs="Times New Roman"/>
              </w:rPr>
              <w:t xml:space="preserve">the </w:t>
            </w:r>
            <w:r w:rsidRPr="00F66630">
              <w:rPr>
                <w:rFonts w:ascii="Times New Roman" w:hAnsi="Times New Roman" w:cs="Times New Roman"/>
              </w:rPr>
              <w:t xml:space="preserve">2021 </w:t>
            </w:r>
            <w:r w:rsidR="00F92714" w:rsidRPr="00F66630">
              <w:rPr>
                <w:rFonts w:ascii="Times New Roman" w:hAnsi="Times New Roman" w:cs="Times New Roman"/>
              </w:rPr>
              <w:t xml:space="preserve">DLR/result </w:t>
            </w:r>
            <w:r w:rsidR="006718C6" w:rsidRPr="00F66630">
              <w:rPr>
                <w:rFonts w:ascii="Times New Roman" w:hAnsi="Times New Roman" w:cs="Times New Roman"/>
              </w:rPr>
              <w:t>requires</w:t>
            </w:r>
            <w:r w:rsidRPr="00F66630">
              <w:rPr>
                <w:rFonts w:ascii="Times New Roman" w:hAnsi="Times New Roman" w:cs="Times New Roman"/>
              </w:rPr>
              <w:t xml:space="preserve"> implementation of </w:t>
            </w:r>
            <w:r w:rsidR="006718C6" w:rsidRPr="00F66630">
              <w:rPr>
                <w:rFonts w:ascii="Times New Roman" w:hAnsi="Times New Roman" w:cs="Times New Roman"/>
              </w:rPr>
              <w:t xml:space="preserve">(at least) </w:t>
            </w:r>
            <w:r w:rsidRPr="00F66630">
              <w:rPr>
                <w:rFonts w:ascii="Times New Roman" w:hAnsi="Times New Roman" w:cs="Times New Roman"/>
              </w:rPr>
              <w:t>five modules: e-Registration, e-Publishing/Notification, e-Procurement Plan, e-</w:t>
            </w:r>
            <w:proofErr w:type="gramStart"/>
            <w:r w:rsidRPr="00F66630">
              <w:rPr>
                <w:rFonts w:ascii="Times New Roman" w:hAnsi="Times New Roman" w:cs="Times New Roman"/>
              </w:rPr>
              <w:t>Tendering</w:t>
            </w:r>
            <w:proofErr w:type="gramEnd"/>
            <w:r w:rsidRPr="00F66630">
              <w:rPr>
                <w:rFonts w:ascii="Times New Roman" w:hAnsi="Times New Roman" w:cs="Times New Roman"/>
              </w:rPr>
              <w:t xml:space="preserve"> and e-Evaluation/e-Awarding.</w:t>
            </w:r>
            <w:r w:rsidR="006718C6" w:rsidRPr="00F66630">
              <w:rPr>
                <w:rFonts w:ascii="Times New Roman" w:hAnsi="Times New Roman" w:cs="Times New Roman"/>
              </w:rPr>
              <w:t xml:space="preserve"> </w:t>
            </w:r>
            <w:r w:rsidR="00813DA6" w:rsidRPr="00F66630">
              <w:rPr>
                <w:rFonts w:ascii="Times New Roman" w:hAnsi="Times New Roman" w:cs="Times New Roman"/>
              </w:rPr>
              <w:t xml:space="preserve">States will need to </w:t>
            </w:r>
            <w:r w:rsidR="006F7833" w:rsidRPr="00F66630">
              <w:rPr>
                <w:rFonts w:ascii="Times New Roman" w:hAnsi="Times New Roman" w:cs="Times New Roman"/>
              </w:rPr>
              <w:t xml:space="preserve">have had </w:t>
            </w:r>
            <w:r w:rsidR="00813DA6" w:rsidRPr="00F66630">
              <w:rPr>
                <w:rFonts w:ascii="Times New Roman" w:hAnsi="Times New Roman" w:cs="Times New Roman"/>
              </w:rPr>
              <w:t xml:space="preserve">at least </w:t>
            </w:r>
            <w:r w:rsidR="00813DA6" w:rsidRPr="00F66630">
              <w:rPr>
                <w:rFonts w:ascii="Times New Roman" w:eastAsia="Times New Roman" w:hAnsi="Times New Roman" w:cs="Times New Roman"/>
              </w:rPr>
              <w:t xml:space="preserve">6 months of transactions </w:t>
            </w:r>
            <w:r w:rsidR="00A4048A" w:rsidRPr="00F66630">
              <w:rPr>
                <w:rFonts w:ascii="Times New Roman" w:eastAsia="Times New Roman" w:hAnsi="Times New Roman" w:cs="Times New Roman"/>
              </w:rPr>
              <w:t>(</w:t>
            </w:r>
            <w:r w:rsidR="00A4048A" w:rsidRPr="00F66630">
              <w:rPr>
                <w:rFonts w:ascii="Times New Roman" w:hAnsi="Times New Roman" w:cs="Times New Roman"/>
              </w:rPr>
              <w:t xml:space="preserve">for the period 1 January </w:t>
            </w:r>
            <w:r w:rsidR="00933382" w:rsidRPr="00255218">
              <w:rPr>
                <w:rFonts w:ascii="Times New Roman" w:hAnsi="Times New Roman" w:cs="Times New Roman"/>
                <w:highlight w:val="yellow"/>
              </w:rPr>
              <w:t>2022</w:t>
            </w:r>
            <w:r w:rsidR="00933382" w:rsidRPr="00F66630">
              <w:rPr>
                <w:rFonts w:ascii="Times New Roman" w:hAnsi="Times New Roman" w:cs="Times New Roman"/>
              </w:rPr>
              <w:t xml:space="preserve"> </w:t>
            </w:r>
            <w:r w:rsidR="00A4048A" w:rsidRPr="00F66630">
              <w:rPr>
                <w:rFonts w:ascii="Times New Roman" w:hAnsi="Times New Roman" w:cs="Times New Roman"/>
              </w:rPr>
              <w:t>to 30 June 2022</w:t>
            </w:r>
            <w:r w:rsidR="00A4048A" w:rsidRPr="00F66630">
              <w:rPr>
                <w:rFonts w:ascii="Times New Roman" w:eastAsia="Times New Roman" w:hAnsi="Times New Roman" w:cs="Times New Roman"/>
              </w:rPr>
              <w:t>)</w:t>
            </w:r>
            <w:r w:rsidR="00B04EAA" w:rsidRPr="00F66630">
              <w:rPr>
                <w:rFonts w:ascii="Times New Roman" w:eastAsia="Times New Roman" w:hAnsi="Times New Roman" w:cs="Times New Roman"/>
              </w:rPr>
              <w:t xml:space="preserve"> </w:t>
            </w:r>
            <w:r w:rsidR="004D6C3C" w:rsidRPr="00F66630">
              <w:rPr>
                <w:rFonts w:ascii="Times New Roman" w:eastAsia="Times New Roman" w:hAnsi="Times New Roman" w:cs="Times New Roman"/>
              </w:rPr>
              <w:t xml:space="preserve">in at </w:t>
            </w:r>
            <w:r w:rsidR="004D6C3C" w:rsidRPr="00F66630">
              <w:rPr>
                <w:rFonts w:ascii="Times New Roman" w:hAnsi="Times New Roman" w:cs="Times New Roman"/>
              </w:rPr>
              <w:t xml:space="preserve">least 4 MDAs (including Education, </w:t>
            </w:r>
            <w:proofErr w:type="gramStart"/>
            <w:r w:rsidR="004D6C3C" w:rsidRPr="00F66630">
              <w:rPr>
                <w:rFonts w:ascii="Times New Roman" w:hAnsi="Times New Roman" w:cs="Times New Roman"/>
              </w:rPr>
              <w:t>Health</w:t>
            </w:r>
            <w:proofErr w:type="gramEnd"/>
            <w:r w:rsidR="004D6C3C" w:rsidRPr="00F66630">
              <w:rPr>
                <w:rFonts w:ascii="Times New Roman" w:hAnsi="Times New Roman" w:cs="Times New Roman"/>
              </w:rPr>
              <w:t xml:space="preserve"> and Public Works) </w:t>
            </w:r>
            <w:r w:rsidR="00813DA6" w:rsidRPr="00F66630">
              <w:rPr>
                <w:rFonts w:ascii="Times New Roman" w:hAnsi="Times New Roman" w:cs="Times New Roman"/>
              </w:rPr>
              <w:t xml:space="preserve">going </w:t>
            </w:r>
            <w:r w:rsidR="00813DA6" w:rsidRPr="00F66630">
              <w:rPr>
                <w:rFonts w:ascii="Times New Roman" w:eastAsia="Times New Roman" w:hAnsi="Times New Roman" w:cs="Times New Roman"/>
              </w:rPr>
              <w:t>through the e-procurement system</w:t>
            </w:r>
            <w:r w:rsidR="006F7833" w:rsidRPr="00F66630">
              <w:rPr>
                <w:rFonts w:ascii="Times New Roman" w:eastAsia="Times New Roman" w:hAnsi="Times New Roman" w:cs="Times New Roman"/>
              </w:rPr>
              <w:t xml:space="preserve"> by June 30, 2022</w:t>
            </w:r>
            <w:r w:rsidR="00813DA6" w:rsidRPr="00F66630">
              <w:rPr>
                <w:rFonts w:ascii="Times New Roman" w:eastAsia="Times New Roman" w:hAnsi="Times New Roman" w:cs="Times New Roman"/>
              </w:rPr>
              <w:t xml:space="preserve">. Therefore, </w:t>
            </w:r>
            <w:r w:rsidR="00813DA6" w:rsidRPr="00F66630">
              <w:rPr>
                <w:rFonts w:ascii="Times New Roman" w:hAnsi="Times New Roman" w:cs="Times New Roman"/>
              </w:rPr>
              <w:t xml:space="preserve">only States which have </w:t>
            </w:r>
            <w:r w:rsidR="009C7186" w:rsidRPr="00F66630">
              <w:rPr>
                <w:rFonts w:ascii="Times New Roman" w:hAnsi="Times New Roman" w:cs="Times New Roman"/>
              </w:rPr>
              <w:t>“</w:t>
            </w:r>
            <w:r w:rsidR="00813DA6" w:rsidRPr="00F66630">
              <w:rPr>
                <w:rFonts w:ascii="Times New Roman" w:hAnsi="Times New Roman" w:cs="Times New Roman"/>
              </w:rPr>
              <w:t>gone live</w:t>
            </w:r>
            <w:r w:rsidR="009C7186" w:rsidRPr="00F66630">
              <w:rPr>
                <w:rFonts w:ascii="Times New Roman" w:hAnsi="Times New Roman" w:cs="Times New Roman"/>
              </w:rPr>
              <w:t>”</w:t>
            </w:r>
            <w:r w:rsidR="00527B58" w:rsidRPr="00F66630">
              <w:rPr>
                <w:rFonts w:ascii="Times New Roman" w:hAnsi="Times New Roman" w:cs="Times New Roman"/>
              </w:rPr>
              <w:t xml:space="preserve"> meaning having the five modules functional and ready to process transactions by 31 December 2021 will be able to do so</w:t>
            </w:r>
            <w:r w:rsidR="00A571F1" w:rsidRPr="00F66630">
              <w:rPr>
                <w:rFonts w:ascii="Times New Roman" w:hAnsi="Times New Roman" w:cs="Times New Roman"/>
              </w:rPr>
              <w:t>.</w:t>
            </w:r>
          </w:p>
          <w:p w14:paraId="56BAC0E4" w14:textId="5586BC59" w:rsidR="0008643A" w:rsidRPr="00F66630" w:rsidRDefault="0008643A" w:rsidP="00801BBE">
            <w:pPr>
              <w:rPr>
                <w:rFonts w:ascii="Times New Roman" w:hAnsi="Times New Roman" w:cs="Times New Roman"/>
                <w:b/>
                <w:bCs/>
              </w:rPr>
            </w:pPr>
          </w:p>
          <w:p w14:paraId="06704717" w14:textId="44C2132C" w:rsidR="000D574C" w:rsidRPr="00F66630" w:rsidRDefault="000D574C" w:rsidP="000D574C">
            <w:pPr>
              <w:pStyle w:val="ListParagraph"/>
              <w:numPr>
                <w:ilvl w:val="0"/>
                <w:numId w:val="124"/>
              </w:numPr>
              <w:ind w:left="360"/>
              <w:rPr>
                <w:rFonts w:ascii="Times New Roman" w:hAnsi="Times New Roman" w:cs="Times New Roman"/>
                <w:i/>
                <w:iCs/>
              </w:rPr>
            </w:pPr>
            <w:r w:rsidRPr="00F66630">
              <w:rPr>
                <w:rFonts w:ascii="Times New Roman" w:hAnsi="Times New Roman" w:cs="Times New Roman"/>
                <w:b/>
                <w:bCs/>
              </w:rPr>
              <w:t>For MDAs with e-Procurement</w:t>
            </w:r>
            <w:r w:rsidRPr="00F66630">
              <w:rPr>
                <w:rFonts w:ascii="Times New Roman" w:hAnsi="Times New Roman" w:cs="Times New Roman"/>
              </w:rPr>
              <w:t xml:space="preserve">: States will have to have an online portal established to record and publish data on all the various processes in the procurement cycle, for all contracts awarded through e-Procurement after the go-live during the fiscal year that are in line with the Open Contracting Data Standards (OCDS). </w:t>
            </w:r>
            <w:r w:rsidRPr="00F66630">
              <w:rPr>
                <w:rFonts w:ascii="Times New Roman" w:hAnsi="Times New Roman" w:cs="Times New Roman"/>
                <w:i/>
                <w:iCs/>
              </w:rPr>
              <w:t>For those contracts awarded before the go-live during the fiscal year, States will have to publish all contracts awarded during the fiscal year that are above the threshold (as defined in the state procurement law or in the state procurement regulation(s)), in line with the Open Contracting Data Standards (OCDS) on the state official website or online portal if already established.</w:t>
            </w:r>
          </w:p>
          <w:p w14:paraId="46253FEB" w14:textId="77777777" w:rsidR="002D3624" w:rsidRPr="00F66630" w:rsidRDefault="002D3624" w:rsidP="002D3624">
            <w:pPr>
              <w:pStyle w:val="ListParagraph"/>
              <w:rPr>
                <w:rFonts w:ascii="Times New Roman" w:hAnsi="Times New Roman" w:cs="Times New Roman"/>
                <w:i/>
                <w:iCs/>
              </w:rPr>
            </w:pPr>
          </w:p>
          <w:p w14:paraId="41E42400" w14:textId="34358104" w:rsidR="000D574C" w:rsidRPr="00F66630" w:rsidRDefault="000D574C" w:rsidP="000D574C">
            <w:pPr>
              <w:pStyle w:val="ListParagraph"/>
              <w:numPr>
                <w:ilvl w:val="0"/>
                <w:numId w:val="124"/>
              </w:numPr>
              <w:ind w:left="360"/>
              <w:rPr>
                <w:rFonts w:ascii="Times New Roman" w:hAnsi="Times New Roman" w:cs="Times New Roman"/>
              </w:rPr>
            </w:pPr>
            <w:r w:rsidRPr="00F66630">
              <w:rPr>
                <w:rFonts w:ascii="Times New Roman" w:hAnsi="Times New Roman" w:cs="Times New Roman"/>
                <w:b/>
                <w:bCs/>
              </w:rPr>
              <w:t>For MDAs without e-Procurement:</w:t>
            </w:r>
            <w:r w:rsidRPr="00F66630">
              <w:rPr>
                <w:rFonts w:ascii="Times New Roman" w:hAnsi="Times New Roman" w:cs="Times New Roman"/>
              </w:rPr>
              <w:t xml:space="preserve"> States will have published contract award information*</w:t>
            </w:r>
            <w:r w:rsidR="00EF5653" w:rsidRPr="00F66630">
              <w:rPr>
                <w:rFonts w:ascii="Times New Roman" w:hAnsi="Times New Roman" w:cs="Times New Roman"/>
              </w:rPr>
              <w:t xml:space="preserve"> </w:t>
            </w:r>
            <w:r w:rsidRPr="00F66630">
              <w:rPr>
                <w:rFonts w:ascii="Times New Roman" w:hAnsi="Times New Roman" w:cs="Times New Roman"/>
              </w:rPr>
              <w:t xml:space="preserve">for all contracts awarded during the fiscal year that are above the threshold (as defined in the state procurement law or in the state procurement regulation(s)), in line with the Open Contracting Data Standards (OCDS) on the state official website** or online portal if already established. </w:t>
            </w:r>
          </w:p>
          <w:p w14:paraId="2D395BEF" w14:textId="77777777" w:rsidR="001A0758" w:rsidRPr="00F66630" w:rsidRDefault="001A0758" w:rsidP="004C2E8E">
            <w:pPr>
              <w:rPr>
                <w:rFonts w:ascii="Times New Roman" w:hAnsi="Times New Roman" w:cs="Times New Roman"/>
                <w:i/>
                <w:iCs/>
              </w:rPr>
            </w:pPr>
          </w:p>
          <w:p w14:paraId="1B85E1F2" w14:textId="11E58559" w:rsidR="0092239D" w:rsidRPr="00F66630" w:rsidRDefault="00DD452D" w:rsidP="004C2E8E">
            <w:pPr>
              <w:rPr>
                <w:rFonts w:ascii="Times New Roman" w:hAnsi="Times New Roman" w:cs="Times New Roman"/>
                <w:i/>
                <w:iCs/>
              </w:rPr>
            </w:pPr>
            <w:r w:rsidRPr="00F66630">
              <w:rPr>
                <w:rFonts w:ascii="Times New Roman" w:hAnsi="Times New Roman" w:cs="Times New Roman"/>
                <w:i/>
                <w:iCs/>
              </w:rPr>
              <w:t xml:space="preserve">*The minimum contract award information to be published (i) Project name, (ii) awarding institution, (iii) award </w:t>
            </w:r>
            <w:r w:rsidRPr="00F66630">
              <w:rPr>
                <w:rFonts w:ascii="Times New Roman" w:hAnsi="Times New Roman" w:cs="Times New Roman"/>
                <w:i/>
                <w:iCs/>
              </w:rPr>
              <w:lastRenderedPageBreak/>
              <w:t xml:space="preserve">date, (iv) name of contractor, and (v) contract amount. **If the contract award information is published on the state official website, the information must be accessible to the public.  </w:t>
            </w:r>
          </w:p>
          <w:p w14:paraId="351A1C1D" w14:textId="73B901C5" w:rsidR="001A0758" w:rsidRPr="00F66630" w:rsidRDefault="001A0758" w:rsidP="004C2E8E">
            <w:pPr>
              <w:rPr>
                <w:rFonts w:ascii="Times New Roman" w:hAnsi="Times New Roman" w:cs="Times New Roman"/>
                <w:i/>
                <w:iCs/>
              </w:rPr>
            </w:pPr>
          </w:p>
        </w:tc>
      </w:tr>
      <w:tr w:rsidR="007D562A" w:rsidRPr="00F66630" w14:paraId="4F926E39" w14:textId="77777777" w:rsidTr="00321CAE">
        <w:tc>
          <w:tcPr>
            <w:tcW w:w="5000" w:type="pct"/>
            <w:gridSpan w:val="2"/>
            <w:shd w:val="clear" w:color="auto" w:fill="FDE9D9" w:themeFill="accent6" w:themeFillTint="33"/>
          </w:tcPr>
          <w:p w14:paraId="6987C5FB" w14:textId="77777777" w:rsidR="007D562A" w:rsidRPr="00F66630" w:rsidRDefault="007D562A" w:rsidP="00DE4E0B">
            <w:pPr>
              <w:rPr>
                <w:rFonts w:ascii="Times New Roman" w:hAnsi="Times New Roman" w:cs="Times New Roman"/>
                <w:b/>
                <w:i/>
              </w:rPr>
            </w:pPr>
            <w:r w:rsidRPr="00F66630">
              <w:rPr>
                <w:rFonts w:ascii="Times New Roman" w:hAnsi="Times New Roman" w:cs="Times New Roman"/>
                <w:b/>
                <w:i/>
              </w:rPr>
              <w:lastRenderedPageBreak/>
              <w:t xml:space="preserve">Data Source and Procedures to </w:t>
            </w:r>
            <w:r w:rsidR="00AA3D4A" w:rsidRPr="00F66630">
              <w:rPr>
                <w:rFonts w:ascii="Times New Roman" w:hAnsi="Times New Roman" w:cs="Times New Roman"/>
                <w:b/>
                <w:i/>
              </w:rPr>
              <w:t>assess</w:t>
            </w:r>
            <w:r w:rsidRPr="00F66630">
              <w:rPr>
                <w:rFonts w:ascii="Times New Roman" w:hAnsi="Times New Roman" w:cs="Times New Roman"/>
                <w:b/>
                <w:i/>
              </w:rPr>
              <w:t xml:space="preserve"> achievement</w:t>
            </w:r>
            <w:r w:rsidR="00077F1C" w:rsidRPr="00F66630">
              <w:rPr>
                <w:rFonts w:ascii="Times New Roman" w:hAnsi="Times New Roman" w:cs="Times New Roman"/>
                <w:b/>
                <w:i/>
              </w:rPr>
              <w:t xml:space="preserve"> (2019 APA onwards)</w:t>
            </w:r>
          </w:p>
          <w:p w14:paraId="3F483127" w14:textId="182F4C1D" w:rsidR="00972B10" w:rsidRPr="00F66630" w:rsidRDefault="00972B10" w:rsidP="00DE4E0B">
            <w:pPr>
              <w:rPr>
                <w:rFonts w:ascii="Times New Roman" w:hAnsi="Times New Roman" w:cs="Times New Roman"/>
                <w:b/>
                <w:i/>
              </w:rPr>
            </w:pPr>
          </w:p>
        </w:tc>
      </w:tr>
      <w:tr w:rsidR="007D562A" w:rsidRPr="00F66630" w14:paraId="082C3806" w14:textId="77777777" w:rsidTr="00321CAE">
        <w:tc>
          <w:tcPr>
            <w:tcW w:w="5000" w:type="pct"/>
            <w:gridSpan w:val="2"/>
          </w:tcPr>
          <w:p w14:paraId="7246E90C" w14:textId="77777777" w:rsidR="007D562A" w:rsidRPr="00F66630" w:rsidRDefault="007D562A" w:rsidP="00DE4E0B">
            <w:pPr>
              <w:rPr>
                <w:rFonts w:ascii="Times New Roman" w:hAnsi="Times New Roman" w:cs="Times New Roman"/>
                <w:b/>
                <w:i/>
                <w:u w:val="single"/>
              </w:rPr>
            </w:pPr>
            <w:r w:rsidRPr="00F66630">
              <w:rPr>
                <w:rFonts w:ascii="Times New Roman" w:hAnsi="Times New Roman" w:cs="Times New Roman"/>
                <w:b/>
                <w:i/>
                <w:u w:val="single"/>
              </w:rPr>
              <w:t>Data Sources</w:t>
            </w:r>
          </w:p>
          <w:p w14:paraId="09ADD365" w14:textId="77777777" w:rsidR="007D562A" w:rsidRPr="00F66630" w:rsidRDefault="007D562A" w:rsidP="00E36965">
            <w:pPr>
              <w:pStyle w:val="ListParagraph"/>
              <w:numPr>
                <w:ilvl w:val="0"/>
                <w:numId w:val="19"/>
              </w:numPr>
              <w:rPr>
                <w:rFonts w:ascii="Times New Roman" w:eastAsia="Times New Roman" w:hAnsi="Times New Roman" w:cs="Times New Roman"/>
                <w:bCs/>
              </w:rPr>
            </w:pPr>
            <w:r w:rsidRPr="00F66630">
              <w:rPr>
                <w:rFonts w:ascii="Times New Roman" w:eastAsia="Times New Roman" w:hAnsi="Times New Roman" w:cs="Times New Roman"/>
                <w:b/>
                <w:bCs/>
              </w:rPr>
              <w:t>State Bureau for Public Procurement, Public Procurement Agency</w:t>
            </w:r>
            <w:r w:rsidRPr="00F66630">
              <w:rPr>
                <w:rFonts w:ascii="Times New Roman" w:eastAsia="Times New Roman" w:hAnsi="Times New Roman" w:cs="Times New Roman"/>
                <w:bCs/>
              </w:rPr>
              <w:t xml:space="preserve"> or equivalent</w:t>
            </w:r>
          </w:p>
          <w:p w14:paraId="7A808C52" w14:textId="7241DC54" w:rsidR="002C3B16" w:rsidRPr="00F66630" w:rsidRDefault="00677053" w:rsidP="00E36965">
            <w:pPr>
              <w:pStyle w:val="ListParagraph"/>
              <w:numPr>
                <w:ilvl w:val="0"/>
                <w:numId w:val="19"/>
              </w:numPr>
              <w:rPr>
                <w:rFonts w:ascii="Times New Roman" w:eastAsia="Times New Roman" w:hAnsi="Times New Roman" w:cs="Times New Roman"/>
                <w:bCs/>
                <w:iCs/>
              </w:rPr>
            </w:pPr>
            <w:r w:rsidRPr="00F66630">
              <w:rPr>
                <w:rFonts w:ascii="Times New Roman" w:eastAsia="Times New Roman" w:hAnsi="Times New Roman" w:cs="Times New Roman"/>
                <w:b/>
                <w:bCs/>
                <w:iCs/>
              </w:rPr>
              <w:t>State official website(s)</w:t>
            </w:r>
            <w:r w:rsidRPr="00F66630">
              <w:rPr>
                <w:rFonts w:ascii="Times New Roman" w:hAnsi="Times New Roman" w:cs="Times New Roman"/>
              </w:rPr>
              <w:t>: the website of the Office of the Auditor-General for States, the website of the State Government, the website of relevant Ministries such as Finance, Budget and Economic Planning, the website of the State House of Assembly</w:t>
            </w:r>
            <w:r w:rsidR="002C3B16" w:rsidRPr="00F66630">
              <w:rPr>
                <w:rFonts w:ascii="Times New Roman" w:eastAsia="Times New Roman" w:hAnsi="Times New Roman" w:cs="Times New Roman"/>
                <w:bCs/>
                <w:iCs/>
              </w:rPr>
              <w:t xml:space="preserve"> </w:t>
            </w:r>
          </w:p>
          <w:p w14:paraId="30942A57" w14:textId="77777777" w:rsidR="002C3B16" w:rsidRPr="00F66630" w:rsidRDefault="002C3B16" w:rsidP="00E36965">
            <w:pPr>
              <w:pStyle w:val="ListParagraph"/>
              <w:numPr>
                <w:ilvl w:val="0"/>
                <w:numId w:val="19"/>
              </w:numPr>
              <w:rPr>
                <w:rFonts w:ascii="Times New Roman" w:eastAsia="Times New Roman" w:hAnsi="Times New Roman" w:cs="Times New Roman"/>
                <w:b/>
                <w:bCs/>
                <w:iCs/>
              </w:rPr>
            </w:pPr>
            <w:r w:rsidRPr="00F66630">
              <w:rPr>
                <w:rFonts w:ascii="Times New Roman" w:eastAsia="Times New Roman" w:hAnsi="Times New Roman" w:cs="Times New Roman"/>
                <w:b/>
                <w:bCs/>
                <w:iCs/>
              </w:rPr>
              <w:t>Open contracting online portal</w:t>
            </w:r>
          </w:p>
          <w:p w14:paraId="74CCC6F6" w14:textId="064C74BC" w:rsidR="002C3B16" w:rsidRPr="00F66630" w:rsidRDefault="007D562A" w:rsidP="00E36965">
            <w:pPr>
              <w:pStyle w:val="ListParagraph"/>
              <w:numPr>
                <w:ilvl w:val="0"/>
                <w:numId w:val="19"/>
              </w:numPr>
              <w:rPr>
                <w:rFonts w:ascii="Times New Roman" w:eastAsia="Times New Roman" w:hAnsi="Times New Roman" w:cs="Times New Roman"/>
                <w:b/>
                <w:bCs/>
                <w:iCs/>
              </w:rPr>
            </w:pPr>
            <w:r w:rsidRPr="00F66630">
              <w:rPr>
                <w:rFonts w:ascii="Times New Roman" w:eastAsia="Times New Roman" w:hAnsi="Times New Roman" w:cs="Times New Roman"/>
                <w:b/>
                <w:bCs/>
                <w:iCs/>
              </w:rPr>
              <w:t>Office of the State Accountant General</w:t>
            </w:r>
          </w:p>
          <w:p w14:paraId="0FA4227F" w14:textId="77777777" w:rsidR="00271DF1" w:rsidRPr="00F66630" w:rsidRDefault="007D562A" w:rsidP="00E36965">
            <w:pPr>
              <w:pStyle w:val="ListParagraph"/>
              <w:numPr>
                <w:ilvl w:val="0"/>
                <w:numId w:val="19"/>
              </w:numPr>
              <w:rPr>
                <w:rFonts w:ascii="Times New Roman" w:hAnsi="Times New Roman" w:cs="Times New Roman"/>
                <w:b/>
                <w:i/>
              </w:rPr>
            </w:pPr>
            <w:r w:rsidRPr="00F66630">
              <w:rPr>
                <w:rFonts w:ascii="Times New Roman" w:eastAsia="Times New Roman" w:hAnsi="Times New Roman" w:cs="Times New Roman"/>
                <w:b/>
                <w:bCs/>
                <w:iCs/>
              </w:rPr>
              <w:t>Ministries of Health, Education, Works</w:t>
            </w:r>
            <w:r w:rsidRPr="00F66630">
              <w:rPr>
                <w:rFonts w:ascii="Times New Roman" w:eastAsia="Times New Roman" w:hAnsi="Times New Roman" w:cs="Times New Roman"/>
                <w:bCs/>
                <w:iCs/>
              </w:rPr>
              <w:t xml:space="preserve"> etc</w:t>
            </w:r>
            <w:r w:rsidR="002C3B16" w:rsidRPr="00F66630">
              <w:rPr>
                <w:rFonts w:ascii="Times New Roman" w:eastAsia="Times New Roman" w:hAnsi="Times New Roman" w:cs="Times New Roman"/>
                <w:bCs/>
                <w:iCs/>
              </w:rPr>
              <w:t>.</w:t>
            </w:r>
          </w:p>
          <w:p w14:paraId="4CB2F34A" w14:textId="18C31909" w:rsidR="00972B10" w:rsidRPr="00F66630" w:rsidRDefault="00972B10" w:rsidP="00972B10">
            <w:pPr>
              <w:pStyle w:val="ListParagraph"/>
              <w:rPr>
                <w:rFonts w:ascii="Times New Roman" w:hAnsi="Times New Roman" w:cs="Times New Roman"/>
                <w:b/>
                <w:i/>
              </w:rPr>
            </w:pPr>
          </w:p>
        </w:tc>
      </w:tr>
      <w:tr w:rsidR="00886223" w:rsidRPr="00F66630" w14:paraId="43253F3F" w14:textId="77777777" w:rsidTr="00321CAE">
        <w:tc>
          <w:tcPr>
            <w:tcW w:w="5000" w:type="pct"/>
            <w:gridSpan w:val="2"/>
          </w:tcPr>
          <w:p w14:paraId="50571E94" w14:textId="395FF83E" w:rsidR="00886223" w:rsidRPr="00F66630" w:rsidRDefault="00886223" w:rsidP="00395C93">
            <w:pPr>
              <w:rPr>
                <w:rFonts w:ascii="Times New Roman" w:hAnsi="Times New Roman" w:cs="Times New Roman"/>
                <w:b/>
                <w:i/>
                <w:u w:val="single"/>
              </w:rPr>
            </w:pPr>
            <w:r w:rsidRPr="00F66630">
              <w:rPr>
                <w:rFonts w:ascii="Times New Roman" w:hAnsi="Times New Roman" w:cs="Times New Roman"/>
                <w:b/>
                <w:i/>
                <w:u w:val="single"/>
              </w:rPr>
              <w:t>Procedures</w:t>
            </w:r>
            <w:r w:rsidR="00AD0AC9" w:rsidRPr="00F66630">
              <w:rPr>
                <w:rFonts w:ascii="Times New Roman" w:hAnsi="Times New Roman" w:cs="Times New Roman"/>
                <w:b/>
                <w:i/>
                <w:u w:val="single"/>
              </w:rPr>
              <w:t xml:space="preserve"> (for the 2020 and 2021 </w:t>
            </w:r>
            <w:r w:rsidR="00DE5101" w:rsidRPr="00F66630">
              <w:rPr>
                <w:rFonts w:ascii="Times New Roman" w:hAnsi="Times New Roman" w:cs="Times New Roman"/>
                <w:b/>
                <w:i/>
                <w:u w:val="single"/>
              </w:rPr>
              <w:t>DLR/result</w:t>
            </w:r>
            <w:r w:rsidR="00AD0AC9" w:rsidRPr="00F66630">
              <w:rPr>
                <w:rFonts w:ascii="Times New Roman" w:hAnsi="Times New Roman" w:cs="Times New Roman"/>
                <w:b/>
                <w:i/>
                <w:u w:val="single"/>
              </w:rPr>
              <w:t>)</w:t>
            </w:r>
          </w:p>
          <w:p w14:paraId="31C327C2" w14:textId="77777777" w:rsidR="007521B7" w:rsidRPr="00F66630" w:rsidRDefault="007521B7" w:rsidP="00395C93">
            <w:pPr>
              <w:rPr>
                <w:rFonts w:ascii="Times New Roman" w:hAnsi="Times New Roman" w:cs="Times New Roman"/>
                <w:b/>
                <w:i/>
                <w:u w:val="single"/>
              </w:rPr>
            </w:pPr>
          </w:p>
          <w:p w14:paraId="393CFB64" w14:textId="00C56A43" w:rsidR="00886223" w:rsidRPr="00F66630" w:rsidRDefault="00886223" w:rsidP="00395C93">
            <w:pPr>
              <w:rPr>
                <w:rFonts w:ascii="Times New Roman" w:hAnsi="Times New Roman" w:cs="Times New Roman"/>
              </w:rPr>
            </w:pPr>
            <w:r w:rsidRPr="00F66630">
              <w:rPr>
                <w:rFonts w:ascii="Times New Roman" w:hAnsi="Times New Roman" w:cs="Times New Roman"/>
              </w:rPr>
              <w:t>The IVA will carry out the following</w:t>
            </w:r>
            <w:r w:rsidR="00D46622" w:rsidRPr="00F66630">
              <w:rPr>
                <w:rFonts w:ascii="Times New Roman" w:hAnsi="Times New Roman" w:cs="Times New Roman"/>
              </w:rPr>
              <w:t>:</w:t>
            </w:r>
          </w:p>
          <w:p w14:paraId="05B91D40" w14:textId="28FE24FD" w:rsidR="00645420" w:rsidRPr="00F66630" w:rsidRDefault="00D51120"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For MDAs without e-procurement, o</w:t>
            </w:r>
            <w:r w:rsidR="00886223" w:rsidRPr="00F66630">
              <w:rPr>
                <w:rFonts w:ascii="Times New Roman" w:hAnsi="Times New Roman" w:cs="Times New Roman"/>
              </w:rPr>
              <w:t xml:space="preserve">btain a schedule of all contracts awarded during the year under assessment above the threshold </w:t>
            </w:r>
            <w:r w:rsidR="00677053" w:rsidRPr="00F66630">
              <w:rPr>
                <w:rFonts w:ascii="Times New Roman" w:hAnsi="Times New Roman" w:cs="Times New Roman"/>
              </w:rPr>
              <w:t>(as defined in the state procurement law or in the state procurement regulation(s))</w:t>
            </w:r>
            <w:r w:rsidR="00886223" w:rsidRPr="00F66630">
              <w:rPr>
                <w:rFonts w:ascii="Times New Roman" w:hAnsi="Times New Roman" w:cs="Times New Roman"/>
              </w:rPr>
              <w:t xml:space="preserve">. </w:t>
            </w:r>
          </w:p>
          <w:p w14:paraId="14290EDF" w14:textId="77777777" w:rsidR="006D2867" w:rsidRPr="00F66630" w:rsidRDefault="006D2867" w:rsidP="006D286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For MDAs without e-procurement, confirm whether the disclosures on the state official website are compliant with/in line with the Open Contracting Data Standards (OCDS).</w:t>
            </w:r>
          </w:p>
          <w:p w14:paraId="2119116E" w14:textId="29134018" w:rsidR="00886223" w:rsidRPr="00F66630" w:rsidRDefault="008540E3"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For MDAs with e-Procurement, obtain a schedule of all contracts awarded during the year before and after go-live.</w:t>
            </w:r>
          </w:p>
          <w:p w14:paraId="6FB27A41" w14:textId="301B54E7" w:rsidR="00A65F8E" w:rsidRPr="00F66630" w:rsidRDefault="00AD0AC9"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For</w:t>
            </w:r>
            <w:r w:rsidR="00FF35C6" w:rsidRPr="00F66630">
              <w:rPr>
                <w:rFonts w:ascii="Times New Roman" w:hAnsi="Times New Roman" w:cs="Times New Roman"/>
              </w:rPr>
              <w:t xml:space="preserve"> MDAs with e-procurement</w:t>
            </w:r>
            <w:r w:rsidR="00886223" w:rsidRPr="00F66630">
              <w:rPr>
                <w:rFonts w:ascii="Times New Roman" w:hAnsi="Times New Roman" w:cs="Times New Roman"/>
              </w:rPr>
              <w:t xml:space="preserve">, confirm that the States has an online portal established to record and publish data on all the various processes in the procurement cycle, </w:t>
            </w:r>
            <w:r w:rsidR="00BF45FA" w:rsidRPr="00F66630">
              <w:rPr>
                <w:rFonts w:ascii="Times New Roman" w:hAnsi="Times New Roman" w:cs="Times New Roman"/>
              </w:rPr>
              <w:t xml:space="preserve">for all </w:t>
            </w:r>
            <w:r w:rsidR="009841CD" w:rsidRPr="00F66630">
              <w:rPr>
                <w:rFonts w:ascii="Times New Roman" w:hAnsi="Times New Roman" w:cs="Times New Roman"/>
              </w:rPr>
              <w:t xml:space="preserve">transactions initiated after </w:t>
            </w:r>
            <w:r w:rsidR="00E25062" w:rsidRPr="00F66630">
              <w:rPr>
                <w:rFonts w:ascii="Times New Roman" w:hAnsi="Times New Roman" w:cs="Times New Roman"/>
              </w:rPr>
              <w:t xml:space="preserve">the </w:t>
            </w:r>
            <w:r w:rsidR="009841CD" w:rsidRPr="00F66630">
              <w:rPr>
                <w:rFonts w:ascii="Times New Roman" w:hAnsi="Times New Roman" w:cs="Times New Roman"/>
              </w:rPr>
              <w:t xml:space="preserve">go-live resulting in a contract award </w:t>
            </w:r>
            <w:r w:rsidR="00BF45FA" w:rsidRPr="00F66630">
              <w:rPr>
                <w:rFonts w:ascii="Times New Roman" w:hAnsi="Times New Roman" w:cs="Times New Roman"/>
              </w:rPr>
              <w:t xml:space="preserve">during the fiscal year </w:t>
            </w:r>
            <w:r w:rsidR="005C4FEC" w:rsidRPr="00F66630">
              <w:rPr>
                <w:rFonts w:ascii="Times New Roman" w:hAnsi="Times New Roman" w:cs="Times New Roman"/>
              </w:rPr>
              <w:t xml:space="preserve">and confirm whether the data published is </w:t>
            </w:r>
            <w:r w:rsidR="00886223" w:rsidRPr="00F66630">
              <w:rPr>
                <w:rFonts w:ascii="Times New Roman" w:hAnsi="Times New Roman" w:cs="Times New Roman"/>
              </w:rPr>
              <w:t xml:space="preserve">in line with the Open Contracting Data Standards (OCDS). </w:t>
            </w:r>
          </w:p>
          <w:p w14:paraId="21CB6BE9" w14:textId="4501F966" w:rsidR="00A65F8E" w:rsidRPr="00F66630" w:rsidRDefault="00D13380"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 xml:space="preserve">For the 2020 </w:t>
            </w:r>
            <w:r w:rsidR="006C0D24" w:rsidRPr="00F66630">
              <w:rPr>
                <w:rFonts w:ascii="Times New Roman" w:hAnsi="Times New Roman" w:cs="Times New Roman"/>
              </w:rPr>
              <w:t>DLR</w:t>
            </w:r>
            <w:r w:rsidR="00645420" w:rsidRPr="00F66630">
              <w:rPr>
                <w:rFonts w:ascii="Times New Roman" w:hAnsi="Times New Roman" w:cs="Times New Roman"/>
              </w:rPr>
              <w:t xml:space="preserve"> (Basic Target)</w:t>
            </w:r>
            <w:r w:rsidRPr="00F66630">
              <w:rPr>
                <w:rFonts w:ascii="Times New Roman" w:hAnsi="Times New Roman" w:cs="Times New Roman"/>
              </w:rPr>
              <w:t xml:space="preserve">: </w:t>
            </w:r>
            <w:r w:rsidR="002A7DEB" w:rsidRPr="00F66630">
              <w:rPr>
                <w:rFonts w:ascii="Times New Roman" w:hAnsi="Times New Roman" w:cs="Times New Roman"/>
              </w:rPr>
              <w:t>Confirm whether the State has signed the SaaS e-Procurement Framework Contract</w:t>
            </w:r>
          </w:p>
          <w:p w14:paraId="39008754" w14:textId="6539F6F1" w:rsidR="00886223" w:rsidRPr="00F66630" w:rsidRDefault="00886223"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 xml:space="preserve">For the 2020 </w:t>
            </w:r>
            <w:r w:rsidR="006C0D24" w:rsidRPr="00F66630">
              <w:rPr>
                <w:rFonts w:ascii="Times New Roman" w:hAnsi="Times New Roman" w:cs="Times New Roman"/>
              </w:rPr>
              <w:t>DLR</w:t>
            </w:r>
            <w:r w:rsidR="00645420" w:rsidRPr="00F66630">
              <w:rPr>
                <w:rFonts w:ascii="Times New Roman" w:hAnsi="Times New Roman" w:cs="Times New Roman"/>
              </w:rPr>
              <w:t xml:space="preserve"> (Stretch Target)</w:t>
            </w:r>
            <w:r w:rsidR="00A65F8E" w:rsidRPr="00F66630">
              <w:rPr>
                <w:rFonts w:ascii="Times New Roman" w:hAnsi="Times New Roman" w:cs="Times New Roman"/>
              </w:rPr>
              <w:t>:</w:t>
            </w:r>
          </w:p>
          <w:p w14:paraId="14446F51" w14:textId="2304EF71"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Confirm whether the State has implemented e-procurement in at least three (3) MDAs (including Education, Health and Public Works)</w:t>
            </w:r>
            <w:r w:rsidR="005562F7" w:rsidRPr="00F66630">
              <w:rPr>
                <w:rFonts w:ascii="Times New Roman" w:hAnsi="Times New Roman" w:cs="Times New Roman"/>
              </w:rPr>
              <w:t xml:space="preserve"> </w:t>
            </w:r>
            <w:proofErr w:type="gramStart"/>
            <w:r w:rsidR="005562F7" w:rsidRPr="00F66630">
              <w:rPr>
                <w:rFonts w:ascii="Times New Roman" w:hAnsi="Times New Roman" w:cs="Times New Roman"/>
              </w:rPr>
              <w:t>i.e.</w:t>
            </w:r>
            <w:proofErr w:type="gramEnd"/>
            <w:r w:rsidR="005562F7" w:rsidRPr="00F66630">
              <w:rPr>
                <w:rFonts w:ascii="Times New Roman" w:hAnsi="Times New Roman" w:cs="Times New Roman"/>
              </w:rPr>
              <w:t xml:space="preserve"> go-live by </w:t>
            </w:r>
            <w:r w:rsidR="001B0D07" w:rsidRPr="00F66630">
              <w:rPr>
                <w:rFonts w:ascii="Times New Roman" w:hAnsi="Times New Roman" w:cs="Times New Roman"/>
              </w:rPr>
              <w:t xml:space="preserve">31 </w:t>
            </w:r>
            <w:r w:rsidR="005562F7" w:rsidRPr="00F66630">
              <w:rPr>
                <w:rFonts w:ascii="Times New Roman" w:hAnsi="Times New Roman" w:cs="Times New Roman"/>
              </w:rPr>
              <w:t>December 202</w:t>
            </w:r>
            <w:r w:rsidR="0077441A" w:rsidRPr="00F66630">
              <w:rPr>
                <w:rFonts w:ascii="Times New Roman" w:hAnsi="Times New Roman" w:cs="Times New Roman"/>
              </w:rPr>
              <w:t>0</w:t>
            </w:r>
            <w:r w:rsidRPr="00F66630">
              <w:rPr>
                <w:rFonts w:ascii="Times New Roman" w:hAnsi="Times New Roman" w:cs="Times New Roman"/>
              </w:rPr>
              <w:t xml:space="preserve">. </w:t>
            </w:r>
          </w:p>
          <w:p w14:paraId="6E64E8C7" w14:textId="4F87CBE3"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 xml:space="preserve">Obtain a report on all transactions for the three MDAs </w:t>
            </w:r>
            <w:r w:rsidR="003052D9" w:rsidRPr="00F66630">
              <w:rPr>
                <w:rFonts w:ascii="Times New Roman" w:hAnsi="Times New Roman" w:cs="Times New Roman"/>
              </w:rPr>
              <w:t xml:space="preserve">after go-live, </w:t>
            </w:r>
            <w:r w:rsidRPr="00F66630">
              <w:rPr>
                <w:rFonts w:ascii="Times New Roman" w:hAnsi="Times New Roman" w:cs="Times New Roman"/>
              </w:rPr>
              <w:t xml:space="preserve">for the year directly from the e-procurement systems. </w:t>
            </w:r>
          </w:p>
          <w:p w14:paraId="6EBE40A9" w14:textId="4CC737A4"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Obtain a separate report of procurements for all three MDAs for the year from the Accountant General</w:t>
            </w:r>
            <w:r w:rsidR="00677053" w:rsidRPr="00F66630">
              <w:rPr>
                <w:rFonts w:ascii="Times New Roman" w:hAnsi="Times New Roman" w:cs="Times New Roman"/>
              </w:rPr>
              <w:t>.</w:t>
            </w:r>
          </w:p>
          <w:p w14:paraId="1FC2F377" w14:textId="62F4B4B7"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 xml:space="preserve">Compare with the system generated report and confirm all transactions stated on the Accountant General’s report </w:t>
            </w:r>
            <w:r w:rsidR="005D3A39" w:rsidRPr="00F66630">
              <w:rPr>
                <w:rFonts w:ascii="Times New Roman" w:hAnsi="Times New Roman" w:cs="Times New Roman"/>
              </w:rPr>
              <w:t>for all three MDA</w:t>
            </w:r>
            <w:r w:rsidR="00FF4534" w:rsidRPr="00F66630">
              <w:rPr>
                <w:rFonts w:ascii="Times New Roman" w:hAnsi="Times New Roman" w:cs="Times New Roman"/>
              </w:rPr>
              <w:t xml:space="preserve">s after </w:t>
            </w:r>
            <w:r w:rsidR="00FF4534" w:rsidRPr="00F66630">
              <w:rPr>
                <w:rFonts w:ascii="Times New Roman" w:hAnsi="Times New Roman" w:cs="Times New Roman"/>
              </w:rPr>
              <w:lastRenderedPageBreak/>
              <w:t>go-live</w:t>
            </w:r>
            <w:r w:rsidR="005D3A39" w:rsidRPr="00F66630">
              <w:rPr>
                <w:rFonts w:ascii="Times New Roman" w:hAnsi="Times New Roman" w:cs="Times New Roman"/>
              </w:rPr>
              <w:t xml:space="preserve"> </w:t>
            </w:r>
            <w:r w:rsidRPr="00F66630">
              <w:rPr>
                <w:rFonts w:ascii="Times New Roman" w:hAnsi="Times New Roman" w:cs="Times New Roman"/>
              </w:rPr>
              <w:t>that are above the threshold were conducted through the e-procurement system</w:t>
            </w:r>
            <w:r w:rsidR="004D0BFD" w:rsidRPr="00F66630">
              <w:rPr>
                <w:rFonts w:ascii="Times New Roman" w:hAnsi="Times New Roman" w:cs="Times New Roman"/>
              </w:rPr>
              <w:t xml:space="preserve"> (e-Publishing/Notification module)</w:t>
            </w:r>
            <w:r w:rsidRPr="00F66630">
              <w:rPr>
                <w:rFonts w:ascii="Times New Roman" w:hAnsi="Times New Roman" w:cs="Times New Roman"/>
              </w:rPr>
              <w:t xml:space="preserve">. </w:t>
            </w:r>
          </w:p>
          <w:p w14:paraId="277FA915" w14:textId="77777777"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 xml:space="preserve">Select a sample of five (5) transactions at random for each MDA and conduct a walkthrough test of the procurement lifecycle. Ensure the sample includes at least two of the following categories of expenditure (goods, works or services). </w:t>
            </w:r>
          </w:p>
          <w:p w14:paraId="28F46AD6" w14:textId="77777777"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 xml:space="preserve">Document any instances where parts of the transaction were conducted outside of the e-procurement system. </w:t>
            </w:r>
          </w:p>
          <w:p w14:paraId="04BC1678" w14:textId="0F7F4EB9" w:rsidR="00886223" w:rsidRPr="00F66630" w:rsidRDefault="00886223" w:rsidP="007521B7">
            <w:pPr>
              <w:pStyle w:val="ListParagraph"/>
              <w:numPr>
                <w:ilvl w:val="1"/>
                <w:numId w:val="46"/>
              </w:numPr>
              <w:spacing w:after="120"/>
              <w:contextualSpacing w:val="0"/>
              <w:rPr>
                <w:rFonts w:ascii="Times New Roman" w:hAnsi="Times New Roman" w:cs="Times New Roman"/>
              </w:rPr>
            </w:pPr>
            <w:r w:rsidRPr="00F66630">
              <w:rPr>
                <w:rFonts w:ascii="Times New Roman" w:hAnsi="Times New Roman" w:cs="Times New Roman"/>
              </w:rPr>
              <w:t xml:space="preserve">Confirm whether the e-Publishing/Notification module for contract notice and contract award has been implemented </w:t>
            </w:r>
            <w:r w:rsidR="002056B6" w:rsidRPr="00F66630">
              <w:rPr>
                <w:rFonts w:ascii="Times New Roman" w:hAnsi="Times New Roman" w:cs="Times New Roman"/>
              </w:rPr>
              <w:t>and was effective during the year.</w:t>
            </w:r>
            <w:r w:rsidR="001E45D6" w:rsidRPr="00F66630">
              <w:rPr>
                <w:rFonts w:ascii="Times New Roman" w:hAnsi="Times New Roman" w:cs="Times New Roman"/>
              </w:rPr>
              <w:t xml:space="preserve"> Effective means that contract </w:t>
            </w:r>
            <w:proofErr w:type="gramStart"/>
            <w:r w:rsidR="001E45D6" w:rsidRPr="00F66630">
              <w:rPr>
                <w:rFonts w:ascii="Times New Roman" w:hAnsi="Times New Roman" w:cs="Times New Roman"/>
              </w:rPr>
              <w:t>notice</w:t>
            </w:r>
            <w:proofErr w:type="gramEnd"/>
            <w:r w:rsidR="001E45D6" w:rsidRPr="00F66630">
              <w:rPr>
                <w:rFonts w:ascii="Times New Roman" w:hAnsi="Times New Roman" w:cs="Times New Roman"/>
              </w:rPr>
              <w:t xml:space="preserve"> and contract award information is processed through the e-Publishing/Notification module of the e-Procurement system. </w:t>
            </w:r>
            <w:r w:rsidR="002056B6" w:rsidRPr="00F66630" w:rsidDel="00E470F1">
              <w:rPr>
                <w:rFonts w:ascii="Times New Roman" w:hAnsi="Times New Roman" w:cs="Times New Roman"/>
              </w:rPr>
              <w:t xml:space="preserve"> </w:t>
            </w:r>
            <w:r w:rsidRPr="00F66630">
              <w:rPr>
                <w:rFonts w:ascii="Times New Roman" w:hAnsi="Times New Roman" w:cs="Times New Roman"/>
              </w:rPr>
              <w:t>Obtain evidence of these for the selected sample transactions.</w:t>
            </w:r>
          </w:p>
          <w:p w14:paraId="7CEC997E" w14:textId="7227858E" w:rsidR="00886223" w:rsidRPr="00F66630" w:rsidRDefault="00886223" w:rsidP="007521B7">
            <w:pPr>
              <w:pStyle w:val="ListParagraph"/>
              <w:numPr>
                <w:ilvl w:val="0"/>
                <w:numId w:val="23"/>
              </w:numPr>
              <w:spacing w:after="120"/>
              <w:contextualSpacing w:val="0"/>
              <w:rPr>
                <w:rFonts w:ascii="Times New Roman" w:hAnsi="Times New Roman" w:cs="Times New Roman"/>
              </w:rPr>
            </w:pPr>
            <w:r w:rsidRPr="00F66630">
              <w:rPr>
                <w:rFonts w:ascii="Times New Roman" w:hAnsi="Times New Roman" w:cs="Times New Roman"/>
              </w:rPr>
              <w:t xml:space="preserve">For the 2021 </w:t>
            </w:r>
            <w:r w:rsidR="006C0D24" w:rsidRPr="00F66630">
              <w:rPr>
                <w:rFonts w:ascii="Times New Roman" w:hAnsi="Times New Roman" w:cs="Times New Roman"/>
              </w:rPr>
              <w:t>DLR</w:t>
            </w:r>
            <w:r w:rsidR="00A65F8E" w:rsidRPr="00F66630">
              <w:rPr>
                <w:rFonts w:ascii="Times New Roman" w:hAnsi="Times New Roman" w:cs="Times New Roman"/>
              </w:rPr>
              <w:t>:</w:t>
            </w:r>
          </w:p>
          <w:p w14:paraId="660DB7BA" w14:textId="476A45AA" w:rsidR="00886223"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 xml:space="preserve">Confirm whether the State has implemented e-procurement in at least four (4) MDAs (including Education, </w:t>
            </w:r>
            <w:proofErr w:type="gramStart"/>
            <w:r w:rsidRPr="00F66630">
              <w:rPr>
                <w:rFonts w:ascii="Times New Roman" w:hAnsi="Times New Roman" w:cs="Times New Roman"/>
              </w:rPr>
              <w:t>Health</w:t>
            </w:r>
            <w:proofErr w:type="gramEnd"/>
            <w:r w:rsidRPr="00F66630">
              <w:rPr>
                <w:rFonts w:ascii="Times New Roman" w:hAnsi="Times New Roman" w:cs="Times New Roman"/>
              </w:rPr>
              <w:t xml:space="preserve"> and Public Works)</w:t>
            </w:r>
            <w:r w:rsidR="00A61878" w:rsidRPr="00F66630">
              <w:rPr>
                <w:rFonts w:ascii="Times New Roman" w:hAnsi="Times New Roman" w:cs="Times New Roman"/>
              </w:rPr>
              <w:t xml:space="preserve"> </w:t>
            </w:r>
            <w:r w:rsidR="005562F7" w:rsidRPr="00F66630">
              <w:rPr>
                <w:rFonts w:ascii="Times New Roman" w:hAnsi="Times New Roman" w:cs="Times New Roman"/>
              </w:rPr>
              <w:t>i.e.</w:t>
            </w:r>
            <w:r w:rsidR="00E82597" w:rsidRPr="00F66630">
              <w:rPr>
                <w:rFonts w:ascii="Times New Roman" w:hAnsi="Times New Roman" w:cs="Times New Roman"/>
              </w:rPr>
              <w:t>,</w:t>
            </w:r>
            <w:r w:rsidR="005562F7" w:rsidRPr="00F66630">
              <w:rPr>
                <w:rFonts w:ascii="Times New Roman" w:hAnsi="Times New Roman" w:cs="Times New Roman"/>
              </w:rPr>
              <w:t xml:space="preserve"> go-live </w:t>
            </w:r>
            <w:r w:rsidR="00B03E8F" w:rsidRPr="00F66630">
              <w:rPr>
                <w:rFonts w:ascii="Times New Roman" w:hAnsi="Times New Roman" w:cs="Times New Roman"/>
              </w:rPr>
              <w:t xml:space="preserve">by </w:t>
            </w:r>
            <w:r w:rsidR="005562F7" w:rsidRPr="00F66630">
              <w:rPr>
                <w:rFonts w:ascii="Times New Roman" w:hAnsi="Times New Roman" w:cs="Times New Roman"/>
              </w:rPr>
              <w:t>31 December 2021</w:t>
            </w:r>
            <w:r w:rsidRPr="00F66630">
              <w:rPr>
                <w:rFonts w:ascii="Times New Roman" w:hAnsi="Times New Roman" w:cs="Times New Roman"/>
              </w:rPr>
              <w:t xml:space="preserve">. </w:t>
            </w:r>
          </w:p>
          <w:p w14:paraId="54D582CE" w14:textId="3137652D" w:rsidR="00886223"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 xml:space="preserve">Obtain a report on all transactions for the four MDAs </w:t>
            </w:r>
            <w:r w:rsidR="00B03E8F" w:rsidRPr="00F66630">
              <w:rPr>
                <w:rFonts w:ascii="Times New Roman" w:hAnsi="Times New Roman" w:cs="Times New Roman"/>
              </w:rPr>
              <w:t xml:space="preserve">after go-live, during </w:t>
            </w:r>
            <w:r w:rsidRPr="00F66630">
              <w:rPr>
                <w:rFonts w:ascii="Times New Roman" w:hAnsi="Times New Roman" w:cs="Times New Roman"/>
              </w:rPr>
              <w:t>the</w:t>
            </w:r>
            <w:r w:rsidR="00981589" w:rsidRPr="00F66630">
              <w:rPr>
                <w:rFonts w:ascii="Times New Roman" w:hAnsi="Times New Roman" w:cs="Times New Roman"/>
              </w:rPr>
              <w:t xml:space="preserve"> period 1 January </w:t>
            </w:r>
            <w:r w:rsidR="00FA2E8D" w:rsidRPr="00255218">
              <w:rPr>
                <w:rFonts w:ascii="Times New Roman" w:hAnsi="Times New Roman" w:cs="Times New Roman"/>
                <w:highlight w:val="yellow"/>
              </w:rPr>
              <w:t>2022</w:t>
            </w:r>
            <w:r w:rsidR="00FA2E8D" w:rsidRPr="00F66630">
              <w:rPr>
                <w:rFonts w:ascii="Times New Roman" w:hAnsi="Times New Roman" w:cs="Times New Roman"/>
              </w:rPr>
              <w:t xml:space="preserve"> </w:t>
            </w:r>
            <w:r w:rsidR="00981589" w:rsidRPr="00F66630">
              <w:rPr>
                <w:rFonts w:ascii="Times New Roman" w:hAnsi="Times New Roman" w:cs="Times New Roman"/>
              </w:rPr>
              <w:t>to 30 June 2022</w:t>
            </w:r>
            <w:r w:rsidRPr="00F66630">
              <w:rPr>
                <w:rFonts w:ascii="Times New Roman" w:hAnsi="Times New Roman" w:cs="Times New Roman"/>
              </w:rPr>
              <w:t xml:space="preserve"> directly from the e-procurement systems. </w:t>
            </w:r>
          </w:p>
          <w:p w14:paraId="597DC08A" w14:textId="35313EC6" w:rsidR="00886223"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 xml:space="preserve">Obtain a separate report of procurements for all four MDAs for the </w:t>
            </w:r>
            <w:r w:rsidR="00981589" w:rsidRPr="00F66630">
              <w:rPr>
                <w:rFonts w:ascii="Times New Roman" w:hAnsi="Times New Roman" w:cs="Times New Roman"/>
              </w:rPr>
              <w:t xml:space="preserve">period 1 January </w:t>
            </w:r>
            <w:r w:rsidR="00FA2E8D" w:rsidRPr="00255218">
              <w:rPr>
                <w:rFonts w:ascii="Times New Roman" w:hAnsi="Times New Roman" w:cs="Times New Roman"/>
                <w:highlight w:val="yellow"/>
              </w:rPr>
              <w:t>2022</w:t>
            </w:r>
            <w:r w:rsidR="00FA2E8D" w:rsidRPr="00F66630">
              <w:rPr>
                <w:rFonts w:ascii="Times New Roman" w:hAnsi="Times New Roman" w:cs="Times New Roman"/>
              </w:rPr>
              <w:t xml:space="preserve"> </w:t>
            </w:r>
            <w:r w:rsidR="00981589" w:rsidRPr="00F66630">
              <w:rPr>
                <w:rFonts w:ascii="Times New Roman" w:hAnsi="Times New Roman" w:cs="Times New Roman"/>
              </w:rPr>
              <w:t>to 30 June 2022</w:t>
            </w:r>
            <w:r w:rsidRPr="00F66630">
              <w:rPr>
                <w:rFonts w:ascii="Times New Roman" w:hAnsi="Times New Roman" w:cs="Times New Roman"/>
              </w:rPr>
              <w:t xml:space="preserve"> from the Accountant General</w:t>
            </w:r>
          </w:p>
          <w:p w14:paraId="58978586" w14:textId="3D41FA16" w:rsidR="00886223" w:rsidRPr="00F66630" w:rsidRDefault="0085709B"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For all four MDAs after go-live, c</w:t>
            </w:r>
            <w:r w:rsidR="00886223" w:rsidRPr="00F66630">
              <w:rPr>
                <w:rFonts w:ascii="Times New Roman" w:hAnsi="Times New Roman" w:cs="Times New Roman"/>
              </w:rPr>
              <w:t xml:space="preserve">ompare with the system generated report and confirm </w:t>
            </w:r>
            <w:r w:rsidR="00030B09" w:rsidRPr="00F66630">
              <w:rPr>
                <w:rFonts w:ascii="Times New Roman" w:hAnsi="Times New Roman" w:cs="Times New Roman"/>
              </w:rPr>
              <w:t xml:space="preserve">that </w:t>
            </w:r>
            <w:r w:rsidR="00EE546D" w:rsidRPr="00F66630">
              <w:rPr>
                <w:rFonts w:ascii="Times New Roman" w:hAnsi="Times New Roman" w:cs="Times New Roman"/>
              </w:rPr>
              <w:t>all</w:t>
            </w:r>
            <w:r w:rsidR="00886223" w:rsidRPr="00F66630">
              <w:rPr>
                <w:rFonts w:ascii="Times New Roman" w:hAnsi="Times New Roman" w:cs="Times New Roman"/>
              </w:rPr>
              <w:t xml:space="preserve"> transactions </w:t>
            </w:r>
            <w:r w:rsidR="00AE5647" w:rsidRPr="00F66630">
              <w:rPr>
                <w:rFonts w:ascii="Times New Roman" w:hAnsi="Times New Roman" w:cs="Times New Roman"/>
              </w:rPr>
              <w:t xml:space="preserve">after go-live </w:t>
            </w:r>
            <w:r w:rsidR="00886223" w:rsidRPr="00F66630">
              <w:rPr>
                <w:rFonts w:ascii="Times New Roman" w:hAnsi="Times New Roman" w:cs="Times New Roman"/>
              </w:rPr>
              <w:t xml:space="preserve">stated </w:t>
            </w:r>
            <w:r w:rsidR="000F3000" w:rsidRPr="00F66630">
              <w:rPr>
                <w:rFonts w:ascii="Times New Roman" w:hAnsi="Times New Roman" w:cs="Times New Roman"/>
              </w:rPr>
              <w:t xml:space="preserve">in </w:t>
            </w:r>
            <w:r w:rsidR="00886223" w:rsidRPr="00F66630">
              <w:rPr>
                <w:rFonts w:ascii="Times New Roman" w:hAnsi="Times New Roman" w:cs="Times New Roman"/>
              </w:rPr>
              <w:t>the Accountant General’s report</w:t>
            </w:r>
            <w:r w:rsidR="00DD6EDF" w:rsidRPr="00F66630">
              <w:rPr>
                <w:rFonts w:ascii="Times New Roman" w:hAnsi="Times New Roman" w:cs="Times New Roman"/>
              </w:rPr>
              <w:t xml:space="preserve"> for the period 1 January </w:t>
            </w:r>
            <w:r w:rsidR="009302BE" w:rsidRPr="00255218">
              <w:rPr>
                <w:rFonts w:ascii="Times New Roman" w:hAnsi="Times New Roman" w:cs="Times New Roman"/>
                <w:highlight w:val="yellow"/>
              </w:rPr>
              <w:t>2022</w:t>
            </w:r>
            <w:r w:rsidR="009302BE" w:rsidRPr="00F66630">
              <w:rPr>
                <w:rFonts w:ascii="Times New Roman" w:hAnsi="Times New Roman" w:cs="Times New Roman"/>
              </w:rPr>
              <w:t xml:space="preserve"> </w:t>
            </w:r>
            <w:r w:rsidR="00DD6EDF" w:rsidRPr="00F66630">
              <w:rPr>
                <w:rFonts w:ascii="Times New Roman" w:hAnsi="Times New Roman" w:cs="Times New Roman"/>
              </w:rPr>
              <w:t xml:space="preserve">to 30 June 2022 </w:t>
            </w:r>
            <w:r w:rsidR="00886223" w:rsidRPr="00F66630">
              <w:rPr>
                <w:rFonts w:ascii="Times New Roman" w:hAnsi="Times New Roman" w:cs="Times New Roman"/>
              </w:rPr>
              <w:t xml:space="preserve">were conducted through the e-procurement system. </w:t>
            </w:r>
          </w:p>
          <w:p w14:paraId="0214D1AA" w14:textId="77777777" w:rsidR="00886223"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 xml:space="preserve">Select a sample of five (5) transactions at random for each MDA and conduct a walkthrough test of the procurement lifecycle. Ensure the sample includes at least two of the following categories of expenditure (goods, works or services). </w:t>
            </w:r>
          </w:p>
          <w:p w14:paraId="4CC4EE65" w14:textId="77777777" w:rsidR="00886223"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 xml:space="preserve">Document any instances where parts of the transaction were conducted outside of the e-procurement system. </w:t>
            </w:r>
          </w:p>
          <w:p w14:paraId="216BE462" w14:textId="2723F4C3" w:rsidR="00F96D42" w:rsidRPr="00F66630" w:rsidRDefault="00886223" w:rsidP="007521B7">
            <w:pPr>
              <w:pStyle w:val="ListParagraph"/>
              <w:numPr>
                <w:ilvl w:val="0"/>
                <w:numId w:val="47"/>
              </w:numPr>
              <w:spacing w:after="120"/>
              <w:contextualSpacing w:val="0"/>
              <w:rPr>
                <w:rFonts w:ascii="Times New Roman" w:hAnsi="Times New Roman" w:cs="Times New Roman"/>
              </w:rPr>
            </w:pPr>
            <w:r w:rsidRPr="00F66630">
              <w:rPr>
                <w:rFonts w:ascii="Times New Roman" w:hAnsi="Times New Roman" w:cs="Times New Roman"/>
              </w:rPr>
              <w:t>Confirm whether the e-Registration, e-Publishing/Notification, e-</w:t>
            </w:r>
            <w:proofErr w:type="gramStart"/>
            <w:r w:rsidRPr="00F66630">
              <w:rPr>
                <w:rFonts w:ascii="Times New Roman" w:hAnsi="Times New Roman" w:cs="Times New Roman"/>
              </w:rPr>
              <w:t>Tendering</w:t>
            </w:r>
            <w:proofErr w:type="gramEnd"/>
            <w:r w:rsidRPr="00F66630">
              <w:rPr>
                <w:rFonts w:ascii="Times New Roman" w:hAnsi="Times New Roman" w:cs="Times New Roman"/>
              </w:rPr>
              <w:t xml:space="preserve"> and e-Evaluation/e-Awarding modules have been implemented and </w:t>
            </w:r>
            <w:r w:rsidR="00AB1B42" w:rsidRPr="00F66630">
              <w:rPr>
                <w:rFonts w:ascii="Times New Roman" w:hAnsi="Times New Roman" w:cs="Times New Roman"/>
              </w:rPr>
              <w:t>had transactions processed through them</w:t>
            </w:r>
            <w:r w:rsidRPr="00F66630">
              <w:rPr>
                <w:rFonts w:ascii="Times New Roman" w:hAnsi="Times New Roman" w:cs="Times New Roman"/>
              </w:rPr>
              <w:t xml:space="preserve"> </w:t>
            </w:r>
            <w:r w:rsidR="00DE4C7D" w:rsidRPr="00F66630">
              <w:rPr>
                <w:rFonts w:ascii="Times New Roman" w:hAnsi="Times New Roman" w:cs="Times New Roman"/>
              </w:rPr>
              <w:t>after go-live</w:t>
            </w:r>
            <w:r w:rsidR="006A54A7" w:rsidRPr="00F66630">
              <w:rPr>
                <w:rFonts w:ascii="Times New Roman" w:hAnsi="Times New Roman" w:cs="Times New Roman"/>
              </w:rPr>
              <w:t xml:space="preserve"> for the period 1 January </w:t>
            </w:r>
            <w:r w:rsidR="00D3329F" w:rsidRPr="00255218">
              <w:rPr>
                <w:rFonts w:ascii="Times New Roman" w:hAnsi="Times New Roman" w:cs="Times New Roman"/>
                <w:highlight w:val="yellow"/>
              </w:rPr>
              <w:t>2022</w:t>
            </w:r>
            <w:r w:rsidR="00D3329F" w:rsidRPr="00F66630">
              <w:rPr>
                <w:rFonts w:ascii="Times New Roman" w:hAnsi="Times New Roman" w:cs="Times New Roman"/>
              </w:rPr>
              <w:t xml:space="preserve"> </w:t>
            </w:r>
            <w:r w:rsidR="006A54A7" w:rsidRPr="00F66630">
              <w:rPr>
                <w:rFonts w:ascii="Times New Roman" w:hAnsi="Times New Roman" w:cs="Times New Roman"/>
              </w:rPr>
              <w:t>to 30 June 2022</w:t>
            </w:r>
            <w:r w:rsidRPr="00F66630">
              <w:rPr>
                <w:rFonts w:ascii="Times New Roman" w:hAnsi="Times New Roman" w:cs="Times New Roman"/>
              </w:rPr>
              <w:t>. Obtain evidence of these for the selected sample transactions.</w:t>
            </w:r>
          </w:p>
        </w:tc>
      </w:tr>
      <w:bookmarkEnd w:id="5"/>
    </w:tbl>
    <w:p w14:paraId="776E2153" w14:textId="4332577B" w:rsidR="00411608" w:rsidRPr="00F66630" w:rsidRDefault="00411608" w:rsidP="00213F3A">
      <w:pPr>
        <w:rPr>
          <w:rFonts w:ascii="Times New Roman" w:eastAsia="Times New Roman" w:hAnsi="Times New Roman" w:cs="Times New Roman"/>
          <w:b/>
          <w:spacing w:val="4"/>
          <w:sz w:val="20"/>
          <w:szCs w:val="20"/>
        </w:rPr>
      </w:pPr>
    </w:p>
    <w:p w14:paraId="7BF9F9FD" w14:textId="77777777" w:rsidR="00C34470" w:rsidRPr="00F66630" w:rsidRDefault="00C34470">
      <w:r w:rsidRPr="00F66630">
        <w:rPr>
          <w:b/>
          <w:bCs/>
        </w:rPr>
        <w:br w:type="page"/>
      </w:r>
    </w:p>
    <w:tbl>
      <w:tblPr>
        <w:tblStyle w:val="TableGrid"/>
        <w:tblW w:w="5315" w:type="pct"/>
        <w:tblLook w:val="04A0" w:firstRow="1" w:lastRow="0" w:firstColumn="1" w:lastColumn="0" w:noHBand="0" w:noVBand="1"/>
      </w:tblPr>
      <w:tblGrid>
        <w:gridCol w:w="4314"/>
        <w:gridCol w:w="2431"/>
        <w:gridCol w:w="7021"/>
      </w:tblGrid>
      <w:tr w:rsidR="00AF01BD" w:rsidRPr="00F66630" w14:paraId="18C17A11" w14:textId="77777777" w:rsidTr="00EC733C">
        <w:trPr>
          <w:trHeight w:val="368"/>
        </w:trPr>
        <w:tc>
          <w:tcPr>
            <w:tcW w:w="5000" w:type="pct"/>
            <w:gridSpan w:val="3"/>
            <w:shd w:val="clear" w:color="auto" w:fill="EAF1DD" w:themeFill="accent3" w:themeFillTint="33"/>
          </w:tcPr>
          <w:p w14:paraId="1847E24E" w14:textId="34D8CB3F" w:rsidR="00AF01BD" w:rsidRPr="00F66630" w:rsidRDefault="00AF01BD" w:rsidP="00871362">
            <w:pPr>
              <w:pStyle w:val="Heading3"/>
              <w:numPr>
                <w:ilvl w:val="0"/>
                <w:numId w:val="0"/>
              </w:numPr>
              <w:outlineLvl w:val="2"/>
              <w:rPr>
                <w:rFonts w:cs="Times New Roman"/>
                <w:b w:val="0"/>
                <w:color w:val="000000"/>
              </w:rPr>
            </w:pPr>
            <w:r w:rsidRPr="00F66630">
              <w:lastRenderedPageBreak/>
              <w:br w:type="page"/>
            </w:r>
            <w:r w:rsidR="00BB1303" w:rsidRPr="00F66630">
              <w:rPr>
                <w:sz w:val="22"/>
                <w:szCs w:val="22"/>
              </w:rPr>
              <w:br w:type="page"/>
            </w:r>
            <w:bookmarkStart w:id="28" w:name="_Toc107345853"/>
            <w:r w:rsidR="00BB1303" w:rsidRPr="00F66630">
              <w:rPr>
                <w:sz w:val="22"/>
                <w:szCs w:val="22"/>
              </w:rPr>
              <w:t xml:space="preserve">ORIGINAL </w:t>
            </w:r>
            <w:r w:rsidRPr="00F66630">
              <w:rPr>
                <w:rFonts w:ascii="Times New Roman Bold" w:eastAsia="Calibri" w:hAnsi="Times New Roman Bold"/>
                <w:sz w:val="22"/>
                <w:szCs w:val="22"/>
              </w:rPr>
              <w:t>DLI 7: Strengthened public debt management and fiscal responsibility framework</w:t>
            </w:r>
            <w:bookmarkEnd w:id="28"/>
          </w:p>
        </w:tc>
      </w:tr>
      <w:tr w:rsidR="00AF01BD" w:rsidRPr="00F66630" w14:paraId="49C78686" w14:textId="77777777" w:rsidTr="00EC733C">
        <w:trPr>
          <w:trHeight w:val="470"/>
        </w:trPr>
        <w:tc>
          <w:tcPr>
            <w:tcW w:w="1567" w:type="pct"/>
            <w:shd w:val="clear" w:color="auto" w:fill="FDE9D9" w:themeFill="accent6" w:themeFillTint="33"/>
          </w:tcPr>
          <w:p w14:paraId="5174ACB3" w14:textId="77777777" w:rsidR="00AF01BD" w:rsidRPr="00F66630" w:rsidRDefault="00AF01BD" w:rsidP="00871362">
            <w:pPr>
              <w:rPr>
                <w:rFonts w:ascii="Times New Roman" w:hAnsi="Times New Roman" w:cs="Times New Roman"/>
                <w:b/>
                <w:i/>
              </w:rPr>
            </w:pPr>
            <w:bookmarkStart w:id="29" w:name="_Hlk524618827"/>
            <w:r w:rsidRPr="00F66630">
              <w:rPr>
                <w:rFonts w:ascii="Times New Roman" w:hAnsi="Times New Roman" w:cs="Times New Roman"/>
                <w:b/>
                <w:i/>
              </w:rPr>
              <w:t>DLR description as per DLI Matrix</w:t>
            </w:r>
          </w:p>
        </w:tc>
        <w:tc>
          <w:tcPr>
            <w:tcW w:w="3433" w:type="pct"/>
            <w:gridSpan w:val="2"/>
            <w:shd w:val="clear" w:color="auto" w:fill="FDE9D9" w:themeFill="accent6" w:themeFillTint="33"/>
          </w:tcPr>
          <w:p w14:paraId="041236A8" w14:textId="77777777" w:rsidR="00AF01BD" w:rsidRPr="00F66630" w:rsidRDefault="00AF01BD" w:rsidP="00871362">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bookmarkEnd w:id="29"/>
      <w:tr w:rsidR="00AF01BD" w:rsidRPr="00F66630" w14:paraId="12CB5F17" w14:textId="77777777" w:rsidTr="00EC733C">
        <w:tc>
          <w:tcPr>
            <w:tcW w:w="1567" w:type="pct"/>
          </w:tcPr>
          <w:p w14:paraId="0680A510" w14:textId="193F2948" w:rsidR="00AF01BD" w:rsidRPr="00F66630" w:rsidRDefault="00AF01BD" w:rsidP="00871362">
            <w:pPr>
              <w:rPr>
                <w:rFonts w:ascii="Times New Roman" w:eastAsia="Times New Roman" w:hAnsi="Times New Roman" w:cs="Times New Roman"/>
                <w:b/>
                <w:bCs/>
                <w:iCs/>
                <w:color w:val="000000"/>
              </w:rPr>
            </w:pPr>
            <w:r w:rsidRPr="00F66630">
              <w:rPr>
                <w:rFonts w:ascii="Times New Roman" w:hAnsi="Times New Roman"/>
                <w:b/>
                <w:bCs/>
              </w:rPr>
              <w:t xml:space="preserve">7.1 State implementing state-level debt legislation, </w:t>
            </w:r>
            <w:r w:rsidRPr="00F66630">
              <w:rPr>
                <w:rFonts w:ascii="Times New Roman" w:hAnsi="Times New Roman"/>
                <w:b/>
                <w:bCs/>
                <w:color w:val="000000"/>
              </w:rPr>
              <w:t xml:space="preserve">which stipulates: 1) responsibilities for contracting state debt; 2) responsibilities for recording/reporting state debt; and 3) fiscal and debt rules/limits. </w:t>
            </w:r>
            <w:r w:rsidRPr="00F66630">
              <w:rPr>
                <w:rFonts w:ascii="Times New Roman" w:hAnsi="Times New Roman"/>
                <w:b/>
                <w:bCs/>
                <w:i/>
              </w:rPr>
              <w:t xml:space="preserve">(one-time payment for year in which DLR is first achieved, up to </w:t>
            </w:r>
            <w:r w:rsidR="009A7B9A" w:rsidRPr="00F66630">
              <w:rPr>
                <w:rFonts w:ascii="Times New Roman" w:hAnsi="Times New Roman"/>
                <w:b/>
                <w:bCs/>
                <w:i/>
              </w:rPr>
              <w:t xml:space="preserve">end of </w:t>
            </w:r>
            <w:r w:rsidR="002E4836" w:rsidRPr="00F66630">
              <w:rPr>
                <w:rFonts w:ascii="Times New Roman" w:hAnsi="Times New Roman"/>
                <w:b/>
                <w:bCs/>
                <w:i/>
              </w:rPr>
              <w:t>2021</w:t>
            </w:r>
            <w:r w:rsidRPr="00F66630">
              <w:rPr>
                <w:rFonts w:ascii="Times New Roman" w:hAnsi="Times New Roman"/>
                <w:b/>
                <w:bCs/>
                <w:i/>
              </w:rPr>
              <w:t>)</w:t>
            </w:r>
          </w:p>
        </w:tc>
        <w:tc>
          <w:tcPr>
            <w:tcW w:w="3433" w:type="pct"/>
            <w:gridSpan w:val="2"/>
          </w:tcPr>
          <w:p w14:paraId="10491D40" w14:textId="77777777" w:rsidR="00AF01BD" w:rsidRPr="00F66630" w:rsidRDefault="00AF01BD" w:rsidP="00871362">
            <w:pPr>
              <w:spacing w:after="120"/>
              <w:rPr>
                <w:rFonts w:ascii="Times New Roman" w:hAnsi="Times New Roman" w:cs="Times New Roman"/>
                <w:i/>
                <w:color w:val="000000" w:themeColor="text1"/>
              </w:rPr>
            </w:pPr>
            <w:r w:rsidRPr="00F66630">
              <w:rPr>
                <w:rFonts w:ascii="Times New Roman" w:hAnsi="Times New Roman"/>
              </w:rPr>
              <w:t>State-level debt legislation</w:t>
            </w:r>
            <w:r w:rsidRPr="00F66630">
              <w:rPr>
                <w:rFonts w:ascii="Times New Roman" w:eastAsia="Times New Roman" w:hAnsi="Times New Roman" w:cs="Times New Roman"/>
                <w:color w:val="000000"/>
              </w:rPr>
              <w:t xml:space="preserve"> includes a state’s fiscal responsibility law, a state’s public debt management law, and public debt-related and/or fiscal responsibility provisions included in other state laws (for example provisions of the Fiscal Responsibility Act (FRA) in the organic PFM Law).</w:t>
            </w:r>
            <w:r w:rsidRPr="00F66630">
              <w:rPr>
                <w:rFonts w:ascii="Times New Roman" w:hAnsi="Times New Roman" w:cs="Times New Roman"/>
                <w:i/>
                <w:color w:val="000000" w:themeColor="text1"/>
              </w:rPr>
              <w:t xml:space="preserve"> </w:t>
            </w:r>
          </w:p>
          <w:p w14:paraId="5FF3C9D5" w14:textId="77777777" w:rsidR="00AF01BD" w:rsidRPr="00F66630" w:rsidRDefault="00AF01BD" w:rsidP="00871362">
            <w:pPr>
              <w:spacing w:after="120"/>
              <w:rPr>
                <w:rFonts w:ascii="Times New Roman" w:hAnsi="Times New Roman" w:cs="Times New Roman"/>
              </w:rPr>
            </w:pPr>
            <w:r w:rsidRPr="00F66630">
              <w:rPr>
                <w:rFonts w:ascii="Times New Roman" w:eastAsia="Times New Roman" w:hAnsi="Times New Roman" w:cs="Times New Roman"/>
                <w:b/>
                <w:bCs/>
                <w:color w:val="000000"/>
              </w:rPr>
              <w:t xml:space="preserve">Content: </w:t>
            </w:r>
            <w:r w:rsidRPr="00F66630">
              <w:rPr>
                <w:rFonts w:ascii="Times New Roman" w:hAnsi="Times New Roman" w:cs="Times New Roman"/>
                <w:color w:val="000000" w:themeColor="text1"/>
              </w:rPr>
              <w:t>The state-level debt legislation – through one or a combination of laws - must include provisions which establish the following required elements (all three elements must be achieved for the DLI to be achieved):</w:t>
            </w:r>
            <w:r w:rsidRPr="00F66630">
              <w:rPr>
                <w:rFonts w:ascii="Times New Roman" w:hAnsi="Times New Roman" w:cs="Times New Roman"/>
              </w:rPr>
              <w:t xml:space="preserve"> </w:t>
            </w:r>
          </w:p>
          <w:p w14:paraId="2692E951" w14:textId="77777777" w:rsidR="00AF01BD" w:rsidRPr="00F66630" w:rsidRDefault="00AF01BD" w:rsidP="00871362">
            <w:pPr>
              <w:spacing w:after="120"/>
              <w:rPr>
                <w:rFonts w:ascii="Times New Roman" w:eastAsia="Times New Roman" w:hAnsi="Times New Roman" w:cs="Times New Roman"/>
                <w:b/>
                <w:bCs/>
                <w:color w:val="000000"/>
              </w:rPr>
            </w:pPr>
            <w:r w:rsidRPr="00F66630">
              <w:rPr>
                <w:rFonts w:ascii="Times New Roman" w:hAnsi="Times New Roman" w:cs="Times New Roman"/>
              </w:rPr>
              <w:t xml:space="preserve">1) Responsibilities for contracting state </w:t>
            </w:r>
            <w:proofErr w:type="gramStart"/>
            <w:r w:rsidRPr="00F66630">
              <w:rPr>
                <w:rFonts w:ascii="Times New Roman" w:hAnsi="Times New Roman" w:cs="Times New Roman"/>
              </w:rPr>
              <w:t>debt;</w:t>
            </w:r>
            <w:proofErr w:type="gramEnd"/>
            <w:r w:rsidRPr="00F66630">
              <w:rPr>
                <w:rFonts w:ascii="Times New Roman" w:hAnsi="Times New Roman" w:cs="Times New Roman"/>
              </w:rPr>
              <w:t xml:space="preserve"> </w:t>
            </w:r>
          </w:p>
          <w:p w14:paraId="6D0D8258" w14:textId="77777777" w:rsidR="00AF01BD" w:rsidRPr="00F66630" w:rsidRDefault="00AF01BD" w:rsidP="00871362">
            <w:pPr>
              <w:spacing w:after="120"/>
              <w:rPr>
                <w:rFonts w:ascii="Times New Roman" w:hAnsi="Times New Roman" w:cs="Times New Roman"/>
              </w:rPr>
            </w:pPr>
            <w:r w:rsidRPr="00F66630">
              <w:rPr>
                <w:rFonts w:ascii="Times New Roman" w:hAnsi="Times New Roman" w:cs="Times New Roman"/>
              </w:rPr>
              <w:t xml:space="preserve">2) Responsibilities for recording and reporting state debt; and </w:t>
            </w:r>
          </w:p>
          <w:p w14:paraId="3A4E5378" w14:textId="7EBEB48E" w:rsidR="00AF01BD" w:rsidRPr="00F66630" w:rsidRDefault="00AF01BD" w:rsidP="00871362">
            <w:pPr>
              <w:spacing w:after="120"/>
              <w:rPr>
                <w:rFonts w:cs="Calibri"/>
              </w:rPr>
            </w:pPr>
            <w:r w:rsidRPr="00F66630">
              <w:rPr>
                <w:rFonts w:ascii="Times New Roman" w:hAnsi="Times New Roman" w:cs="Times New Roman"/>
              </w:rPr>
              <w:t xml:space="preserve">3) Fiscal and debt rules and/or limits for the state. Fiscal rules and limits refer to rules and limits on the fiscal or budget deficits. Debt rules and limits refer to rules and limits related to new incremental debt/borrowing or the total stock of debt held by a state. Fiscal and debt rules and limits are interrelated so this element can be achieved by establishing rules and limits for fiscal OR debt only. For example, a rule that limits annual fiscal deficit to 3 percent of revenue is effectively setting a limit on new annual net borrowing/new net debt accumulation to 3 percent of revenue as states borrow primarily to fund fiscal deficits. Rules and limits can be expressed in the laws through setting quantitative limits in the law or by stipulating the processes and responsibilities for establishing the limits on an ongoing basis. The latter is acceptable because </w:t>
            </w:r>
            <w:r w:rsidRPr="00F66630">
              <w:rPr>
                <w:rFonts w:ascii="Times New Roman" w:hAnsi="Times New Roman"/>
              </w:rPr>
              <w:t xml:space="preserve">the factors that shape and inform the fiscal and debt limits are </w:t>
            </w:r>
            <w:proofErr w:type="gramStart"/>
            <w:r w:rsidRPr="00F66630">
              <w:rPr>
                <w:rFonts w:ascii="Times New Roman" w:hAnsi="Times New Roman"/>
              </w:rPr>
              <w:t>dynamic</w:t>
            </w:r>
            <w:proofErr w:type="gramEnd"/>
            <w:r w:rsidRPr="00F66630">
              <w:rPr>
                <w:rFonts w:ascii="Times New Roman" w:hAnsi="Times New Roman"/>
              </w:rPr>
              <w:t xml:space="preserve"> and it may not be desirable to set fixed quantitative limits in the law. Fiscal and debt rules and limits can refer to one fiscal year of a state’s annual budget or cover multiple years of a state’s medium-term expenditure framework (MTEF). For example, a law that requires having a state to have a MTEF containing quantitative fiscal and debt parameters for the medium-term, including the size of annual fiscal deficits and new borrowing/new debt.</w:t>
            </w:r>
          </w:p>
          <w:p w14:paraId="69E4F2D7" w14:textId="79E9B497" w:rsidR="00AF01BD" w:rsidRPr="00F66630" w:rsidRDefault="00AF01BD" w:rsidP="00871362">
            <w:pPr>
              <w:spacing w:after="120"/>
              <w:rPr>
                <w:rFonts w:ascii="Times New Roman" w:hAnsi="Times New Roman" w:cs="Times New Roman"/>
                <w:i/>
                <w:color w:val="000000" w:themeColor="text1"/>
              </w:rPr>
            </w:pPr>
            <w:r w:rsidRPr="00F66630">
              <w:rPr>
                <w:rFonts w:ascii="Times New Roman" w:eastAsia="Times New Roman" w:hAnsi="Times New Roman" w:cs="Times New Roman"/>
                <w:b/>
                <w:bCs/>
                <w:color w:val="000000"/>
              </w:rPr>
              <w:t xml:space="preserve">Approvals: </w:t>
            </w:r>
            <w:r w:rsidRPr="00F66630">
              <w:rPr>
                <w:rFonts w:ascii="Times New Roman" w:eastAsia="Times New Roman" w:hAnsi="Times New Roman" w:cs="Times New Roman"/>
                <w:bCs/>
                <w:iCs/>
                <w:color w:val="000000"/>
              </w:rPr>
              <w:t xml:space="preserve">The state-level law(s) </w:t>
            </w:r>
            <w:r w:rsidRPr="00F66630">
              <w:rPr>
                <w:rFonts w:ascii="Times New Roman" w:eastAsia="Times New Roman" w:hAnsi="Times New Roman" w:cs="Times New Roman"/>
                <w:color w:val="000000"/>
              </w:rPr>
              <w:t>must be approved by the state legislature</w:t>
            </w:r>
            <w:r w:rsidRPr="00F66630">
              <w:rPr>
                <w:rFonts w:ascii="Times New Roman" w:hAnsi="Times New Roman" w:cs="Times New Roman"/>
              </w:rPr>
              <w:t xml:space="preserve"> by the 31 December of the year under assessment to count for that year.</w:t>
            </w:r>
          </w:p>
          <w:p w14:paraId="6184CBA6" w14:textId="77777777" w:rsidR="00AF01BD" w:rsidRPr="00F66630" w:rsidRDefault="00AF01BD" w:rsidP="00871362">
            <w:pPr>
              <w:pStyle w:val="Default"/>
              <w:rPr>
                <w:sz w:val="22"/>
                <w:szCs w:val="22"/>
              </w:rPr>
            </w:pPr>
            <w:r w:rsidRPr="00F66630">
              <w:rPr>
                <w:b/>
                <w:bCs/>
                <w:sz w:val="22"/>
                <w:szCs w:val="22"/>
              </w:rPr>
              <w:t>State implementation of the state-debt legislation</w:t>
            </w:r>
            <w:r w:rsidRPr="00F66630">
              <w:rPr>
                <w:sz w:val="22"/>
                <w:szCs w:val="22"/>
              </w:rPr>
              <w:t xml:space="preserve"> means for this DLI an operational State Debt Management </w:t>
            </w:r>
            <w:r w:rsidR="00302C43" w:rsidRPr="00F66630">
              <w:rPr>
                <w:sz w:val="22"/>
                <w:szCs w:val="22"/>
              </w:rPr>
              <w:t>structure by whatever name called (</w:t>
            </w:r>
            <w:r w:rsidRPr="00F66630">
              <w:rPr>
                <w:i/>
                <w:iCs/>
                <w:sz w:val="22"/>
                <w:szCs w:val="22"/>
              </w:rPr>
              <w:t>Department</w:t>
            </w:r>
            <w:r w:rsidR="00302C43" w:rsidRPr="00F66630">
              <w:rPr>
                <w:sz w:val="22"/>
                <w:szCs w:val="22"/>
              </w:rPr>
              <w:t>,</w:t>
            </w:r>
            <w:r w:rsidRPr="00F66630">
              <w:rPr>
                <w:sz w:val="22"/>
                <w:szCs w:val="22"/>
              </w:rPr>
              <w:t xml:space="preserve"> </w:t>
            </w:r>
            <w:r w:rsidRPr="00F66630">
              <w:rPr>
                <w:i/>
                <w:iCs/>
                <w:sz w:val="22"/>
                <w:szCs w:val="22"/>
              </w:rPr>
              <w:t>Unit, Committee, Agency, Board, Bureau, Commission, Council</w:t>
            </w:r>
            <w:r w:rsidRPr="00F66630">
              <w:rPr>
                <w:sz w:val="22"/>
                <w:szCs w:val="22"/>
              </w:rPr>
              <w:t>) which is performing its core function of recording and reporting state debt by the 31 December of the year under assessment to count for that year.</w:t>
            </w:r>
          </w:p>
          <w:p w14:paraId="6A31C7D0" w14:textId="52A365CA" w:rsidR="00406AD8" w:rsidRPr="00F66630" w:rsidRDefault="00406AD8" w:rsidP="00871362">
            <w:pPr>
              <w:pStyle w:val="Default"/>
              <w:rPr>
                <w:sz w:val="22"/>
                <w:szCs w:val="22"/>
              </w:rPr>
            </w:pPr>
          </w:p>
        </w:tc>
      </w:tr>
      <w:tr w:rsidR="00AF01BD" w:rsidRPr="00F66630" w14:paraId="1F94CB51" w14:textId="77777777" w:rsidTr="00EC733C">
        <w:tc>
          <w:tcPr>
            <w:tcW w:w="5000" w:type="pct"/>
            <w:gridSpan w:val="3"/>
            <w:shd w:val="clear" w:color="auto" w:fill="FDE9D9" w:themeFill="accent6" w:themeFillTint="33"/>
          </w:tcPr>
          <w:p w14:paraId="1F0BB7BF" w14:textId="39F355E8" w:rsidR="00AF01BD" w:rsidRPr="00F66630" w:rsidRDefault="00AF01BD" w:rsidP="00871362">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r w:rsidR="00077F1C" w:rsidRPr="00F66630">
              <w:rPr>
                <w:rFonts w:ascii="Times New Roman" w:hAnsi="Times New Roman" w:cs="Times New Roman"/>
                <w:b/>
                <w:i/>
              </w:rPr>
              <w:t xml:space="preserve"> (2019 APA onwards)</w:t>
            </w:r>
          </w:p>
        </w:tc>
      </w:tr>
      <w:tr w:rsidR="00AF01BD" w:rsidRPr="00F66630" w14:paraId="4867B094" w14:textId="77777777" w:rsidTr="00EC733C">
        <w:tc>
          <w:tcPr>
            <w:tcW w:w="5000" w:type="pct"/>
            <w:gridSpan w:val="3"/>
          </w:tcPr>
          <w:p w14:paraId="2A48AD5B" w14:textId="77777777" w:rsidR="00AF01BD" w:rsidRPr="00F66630" w:rsidRDefault="00AF01BD" w:rsidP="00871362">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Data Sources</w:t>
            </w:r>
          </w:p>
          <w:p w14:paraId="4DEE4206" w14:textId="6D584C60" w:rsidR="00AF01BD" w:rsidRPr="00F66630" w:rsidRDefault="00AF01BD" w:rsidP="00406AD8">
            <w:pPr>
              <w:numPr>
                <w:ilvl w:val="0"/>
                <w:numId w:val="19"/>
              </w:numPr>
              <w:contextualSpacing/>
              <w:rPr>
                <w:rFonts w:ascii="Times New Roman" w:eastAsia="Times New Roman" w:hAnsi="Times New Roman" w:cs="Times New Roman"/>
                <w:b/>
                <w:bCs/>
                <w:iCs/>
              </w:rPr>
            </w:pPr>
            <w:r w:rsidRPr="00F66630">
              <w:rPr>
                <w:rFonts w:ascii="Times New Roman" w:eastAsia="Times New Roman" w:hAnsi="Times New Roman" w:cs="Times New Roman"/>
                <w:b/>
                <w:bCs/>
                <w:iCs/>
              </w:rPr>
              <w:t xml:space="preserve">State Ministry of Finance </w:t>
            </w:r>
            <w:r w:rsidRPr="00F66630">
              <w:rPr>
                <w:rFonts w:ascii="Times New Roman" w:eastAsia="Times New Roman" w:hAnsi="Times New Roman" w:cs="Times New Roman"/>
                <w:bCs/>
                <w:iCs/>
              </w:rPr>
              <w:t>for the state-level public debt legislation.</w:t>
            </w:r>
          </w:p>
        </w:tc>
      </w:tr>
      <w:tr w:rsidR="00AF01BD" w:rsidRPr="00F66630" w14:paraId="6AA60326" w14:textId="77777777" w:rsidTr="00EC733C">
        <w:tc>
          <w:tcPr>
            <w:tcW w:w="5000" w:type="pct"/>
            <w:gridSpan w:val="3"/>
          </w:tcPr>
          <w:p w14:paraId="4CEDF3C8" w14:textId="383E85D4" w:rsidR="00AF01BD" w:rsidRPr="00F66630" w:rsidRDefault="00AF01BD" w:rsidP="00871362">
            <w:pPr>
              <w:rPr>
                <w:rFonts w:ascii="Times New Roman" w:hAnsi="Times New Roman" w:cs="Times New Roman"/>
                <w:b/>
                <w:i/>
                <w:u w:val="single"/>
              </w:rPr>
            </w:pPr>
            <w:r w:rsidRPr="00F66630">
              <w:rPr>
                <w:rFonts w:ascii="Times New Roman" w:hAnsi="Times New Roman" w:cs="Times New Roman"/>
                <w:b/>
                <w:i/>
                <w:u w:val="single"/>
              </w:rPr>
              <w:t>Procedures</w:t>
            </w:r>
          </w:p>
          <w:p w14:paraId="5FAE2D93" w14:textId="1012F7DF" w:rsidR="00AF01BD" w:rsidRPr="00F66630" w:rsidRDefault="00AF01BD" w:rsidP="00871362">
            <w:pPr>
              <w:rPr>
                <w:rFonts w:ascii="Times New Roman" w:hAnsi="Times New Roman" w:cs="Times New Roman"/>
              </w:rPr>
            </w:pPr>
            <w:r w:rsidRPr="00F66630">
              <w:rPr>
                <w:rFonts w:ascii="Times New Roman" w:hAnsi="Times New Roman" w:cs="Times New Roman"/>
              </w:rPr>
              <w:t xml:space="preserve">The State Ministry of Finance submits the relevant laws (if enacted) to the IVA for assessment: </w:t>
            </w:r>
            <w:r w:rsidR="008442C2" w:rsidRPr="00F66630">
              <w:rPr>
                <w:rFonts w:ascii="Times New Roman" w:hAnsi="Times New Roman" w:cs="Times New Roman"/>
              </w:rPr>
              <w:t>T</w:t>
            </w:r>
            <w:r w:rsidRPr="00F66630">
              <w:rPr>
                <w:rFonts w:ascii="Times New Roman" w:hAnsi="Times New Roman" w:cs="Times New Roman"/>
              </w:rPr>
              <w:t xml:space="preserve">he State PFM Law, the State Fiscal Responsibility Law, and the State Public Debt Management Law. </w:t>
            </w:r>
          </w:p>
          <w:p w14:paraId="38174C26" w14:textId="77777777" w:rsidR="00AF01BD" w:rsidRPr="00F66630" w:rsidRDefault="00AF01BD" w:rsidP="00871362">
            <w:pPr>
              <w:rPr>
                <w:rFonts w:ascii="Times New Roman" w:hAnsi="Times New Roman" w:cs="Times New Roman"/>
              </w:rPr>
            </w:pPr>
          </w:p>
          <w:p w14:paraId="70D12F49" w14:textId="77777777" w:rsidR="00AF01BD" w:rsidRPr="00F66630" w:rsidRDefault="00AF01BD" w:rsidP="00871362">
            <w:pPr>
              <w:rPr>
                <w:rFonts w:ascii="Times New Roman" w:hAnsi="Times New Roman" w:cs="Times New Roman"/>
              </w:rPr>
            </w:pPr>
            <w:r w:rsidRPr="00F66630">
              <w:rPr>
                <w:rFonts w:ascii="Times New Roman" w:hAnsi="Times New Roman" w:cs="Times New Roman"/>
              </w:rPr>
              <w:t>DMO informs the IVA at the beginning of the APA if they have conducted any technical assessments of state debt legislation relevant as inputs into the APA and provides the IVA a copy of that assessment.</w:t>
            </w:r>
          </w:p>
          <w:p w14:paraId="240FE96D" w14:textId="5B91990B" w:rsidR="00AF01BD" w:rsidRPr="00F66630" w:rsidRDefault="00AF01BD" w:rsidP="00871362">
            <w:pPr>
              <w:rPr>
                <w:rFonts w:ascii="Times New Roman" w:hAnsi="Times New Roman" w:cs="Times New Roman"/>
              </w:rPr>
            </w:pPr>
          </w:p>
          <w:p w14:paraId="53687A92" w14:textId="77777777" w:rsidR="00AF01BD" w:rsidRPr="00F66630" w:rsidRDefault="00AF01BD" w:rsidP="00871362">
            <w:pPr>
              <w:rPr>
                <w:rFonts w:ascii="Times New Roman" w:hAnsi="Times New Roman" w:cs="Times New Roman"/>
              </w:rPr>
            </w:pPr>
            <w:r w:rsidRPr="00F66630">
              <w:rPr>
                <w:rFonts w:ascii="Times New Roman" w:hAnsi="Times New Roman" w:cs="Times New Roman"/>
              </w:rPr>
              <w:t>The IVA will carry out the following:</w:t>
            </w:r>
          </w:p>
          <w:p w14:paraId="6A3320BB" w14:textId="4A650341" w:rsidR="00AF01BD" w:rsidRPr="00F66630" w:rsidRDefault="00AF01BD" w:rsidP="00E36965">
            <w:pPr>
              <w:pStyle w:val="ListParagraph"/>
              <w:numPr>
                <w:ilvl w:val="0"/>
                <w:numId w:val="32"/>
              </w:numPr>
              <w:rPr>
                <w:rFonts w:ascii="Times New Roman" w:hAnsi="Times New Roman" w:cs="Times New Roman"/>
              </w:rPr>
            </w:pPr>
            <w:r w:rsidRPr="00F66630">
              <w:rPr>
                <w:rFonts w:ascii="Times New Roman" w:hAnsi="Times New Roman" w:cs="Times New Roman"/>
              </w:rPr>
              <w:t>Obtain from each State copies of their State PFM Law, State Fiscal Responsibility Law, and State Public Debt Management Law (if enacted).</w:t>
            </w:r>
          </w:p>
          <w:p w14:paraId="467BA324" w14:textId="16A42553" w:rsidR="00AF01BD" w:rsidRPr="00F66630" w:rsidRDefault="00AF01BD" w:rsidP="00E36965">
            <w:pPr>
              <w:pStyle w:val="ListParagraph"/>
              <w:numPr>
                <w:ilvl w:val="0"/>
                <w:numId w:val="32"/>
              </w:numPr>
              <w:rPr>
                <w:rFonts w:ascii="Times New Roman" w:hAnsi="Times New Roman" w:cs="Times New Roman"/>
              </w:rPr>
            </w:pPr>
            <w:r w:rsidRPr="00F66630">
              <w:rPr>
                <w:rFonts w:ascii="Times New Roman" w:hAnsi="Times New Roman" w:cs="Times New Roman"/>
              </w:rPr>
              <w:t xml:space="preserve">Review any technical assessments DMO has provided to the IVA on state debt </w:t>
            </w:r>
            <w:proofErr w:type="gramStart"/>
            <w:r w:rsidRPr="00F66630">
              <w:rPr>
                <w:rFonts w:ascii="Times New Roman" w:hAnsi="Times New Roman" w:cs="Times New Roman"/>
              </w:rPr>
              <w:t>legislation .</w:t>
            </w:r>
            <w:proofErr w:type="gramEnd"/>
            <w:r w:rsidRPr="00F66630">
              <w:rPr>
                <w:rFonts w:ascii="Times New Roman" w:hAnsi="Times New Roman" w:cs="Times New Roman"/>
              </w:rPr>
              <w:t xml:space="preserve"> </w:t>
            </w:r>
          </w:p>
          <w:p w14:paraId="102E6390" w14:textId="69197820" w:rsidR="00AF01BD" w:rsidRPr="00F66630" w:rsidRDefault="00AF01BD" w:rsidP="00E36965">
            <w:pPr>
              <w:pStyle w:val="ListParagraph"/>
              <w:numPr>
                <w:ilvl w:val="0"/>
                <w:numId w:val="32"/>
              </w:numPr>
              <w:rPr>
                <w:rFonts w:ascii="Times New Roman" w:hAnsi="Times New Roman" w:cs="Times New Roman"/>
              </w:rPr>
            </w:pPr>
            <w:r w:rsidRPr="00F66630">
              <w:rPr>
                <w:rFonts w:ascii="Times New Roman" w:hAnsi="Times New Roman" w:cs="Times New Roman"/>
              </w:rPr>
              <w:t>Review the laws of each State to verify the inclusion of provisions establishing responsibilities for contracting state debt, responsibilities for recording and reporting state debt, and establishing fiscal and debt rules or limits, according to the DLI definition.</w:t>
            </w:r>
          </w:p>
          <w:p w14:paraId="5EAE49BA" w14:textId="77777777" w:rsidR="00AF01BD" w:rsidRPr="00F66630" w:rsidRDefault="00AF01BD" w:rsidP="00E36965">
            <w:pPr>
              <w:pStyle w:val="ListParagraph"/>
              <w:numPr>
                <w:ilvl w:val="0"/>
                <w:numId w:val="32"/>
              </w:numPr>
              <w:rPr>
                <w:rFonts w:ascii="Times New Roman" w:hAnsi="Times New Roman" w:cs="Times New Roman"/>
                <w:i/>
                <w:iCs/>
              </w:rPr>
            </w:pPr>
            <w:r w:rsidRPr="00F66630">
              <w:rPr>
                <w:rFonts w:ascii="Times New Roman" w:hAnsi="Times New Roman" w:cs="Times New Roman"/>
              </w:rPr>
              <w:t>Confirm that the state debt legislation provides for the creation of a State Debt Management Department</w:t>
            </w:r>
            <w:r w:rsidRPr="00F66630">
              <w:rPr>
                <w:rFonts w:ascii="Times New Roman" w:hAnsi="Times New Roman" w:cs="Times New Roman"/>
                <w:i/>
                <w:iCs/>
              </w:rPr>
              <w:t xml:space="preserve"> (can also be called Unit, Committee, Agency, Board, Bureau, Commission, Council)</w:t>
            </w:r>
          </w:p>
          <w:p w14:paraId="7FDD5F82" w14:textId="349470DD" w:rsidR="00AF01BD" w:rsidRPr="00F66630" w:rsidRDefault="00AF01BD" w:rsidP="00232FE6">
            <w:pPr>
              <w:pStyle w:val="ListParagraph"/>
              <w:numPr>
                <w:ilvl w:val="0"/>
                <w:numId w:val="32"/>
              </w:numPr>
              <w:rPr>
                <w:rFonts w:ascii="Times New Roman" w:hAnsi="Times New Roman" w:cs="Times New Roman"/>
                <w:i/>
                <w:iCs/>
              </w:rPr>
            </w:pPr>
            <w:r w:rsidRPr="00F66630">
              <w:rPr>
                <w:rFonts w:ascii="Times New Roman" w:hAnsi="Times New Roman" w:cs="Times New Roman"/>
              </w:rPr>
              <w:t>Confirm that</w:t>
            </w:r>
            <w:r w:rsidRPr="00F66630">
              <w:rPr>
                <w:rFonts w:ascii="Times New Roman" w:hAnsi="Times New Roman" w:cs="Times New Roman"/>
                <w:i/>
                <w:iCs/>
              </w:rPr>
              <w:t xml:space="preserve"> </w:t>
            </w:r>
            <w:r w:rsidRPr="00F66630">
              <w:rPr>
                <w:rFonts w:ascii="Times New Roman" w:hAnsi="Times New Roman" w:cs="Times New Roman"/>
                <w:color w:val="000000"/>
              </w:rPr>
              <w:t xml:space="preserve">there is an </w:t>
            </w:r>
            <w:r w:rsidRPr="00F66630">
              <w:rPr>
                <w:rFonts w:ascii="Times New Roman" w:hAnsi="Times New Roman" w:cs="Times New Roman"/>
              </w:rPr>
              <w:t>operational</w:t>
            </w:r>
            <w:r w:rsidRPr="00F66630">
              <w:rPr>
                <w:rFonts w:ascii="Times New Roman" w:hAnsi="Times New Roman" w:cs="Times New Roman"/>
                <w:color w:val="000000"/>
              </w:rPr>
              <w:t xml:space="preserve"> </w:t>
            </w:r>
            <w:r w:rsidRPr="00F66630">
              <w:rPr>
                <w:rFonts w:ascii="Times New Roman" w:hAnsi="Times New Roman" w:cs="Times New Roman"/>
              </w:rPr>
              <w:t>State Debt Management Department, which is performing its core function of recording and reporting state debt including the quarterly domestic debt reporting to the DMO, by the 31 December of the year under assessment to count for that year.</w:t>
            </w:r>
          </w:p>
        </w:tc>
      </w:tr>
      <w:tr w:rsidR="00AF01BD" w:rsidRPr="00F66630" w14:paraId="232FB475" w14:textId="77777777" w:rsidTr="00EC733C">
        <w:trPr>
          <w:trHeight w:val="179"/>
        </w:trPr>
        <w:tc>
          <w:tcPr>
            <w:tcW w:w="1567" w:type="pct"/>
            <w:shd w:val="clear" w:color="auto" w:fill="FDE9D9" w:themeFill="accent6" w:themeFillTint="33"/>
          </w:tcPr>
          <w:p w14:paraId="7DD3ABA2" w14:textId="77777777" w:rsidR="00AF01BD" w:rsidRPr="00F66630" w:rsidRDefault="00AF01BD" w:rsidP="00871362">
            <w:pPr>
              <w:rPr>
                <w:rFonts w:ascii="Times New Roman" w:hAnsi="Times New Roman" w:cs="Times New Roman"/>
                <w:b/>
                <w:i/>
              </w:rPr>
            </w:pPr>
            <w:r w:rsidRPr="00F66630">
              <w:rPr>
                <w:rFonts w:ascii="Times New Roman" w:hAnsi="Times New Roman" w:cs="Times New Roman"/>
                <w:b/>
                <w:i/>
              </w:rPr>
              <w:t>DLR description as per DLI Matrix</w:t>
            </w:r>
          </w:p>
        </w:tc>
        <w:tc>
          <w:tcPr>
            <w:tcW w:w="3433" w:type="pct"/>
            <w:gridSpan w:val="2"/>
            <w:shd w:val="clear" w:color="auto" w:fill="FDE9D9" w:themeFill="accent6" w:themeFillTint="33"/>
          </w:tcPr>
          <w:p w14:paraId="3C6C5618" w14:textId="77777777" w:rsidR="00AF01BD" w:rsidRPr="00F66630" w:rsidRDefault="00AF01BD" w:rsidP="00871362">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AF01BD" w:rsidRPr="00F66630" w14:paraId="13C09323" w14:textId="77777777" w:rsidTr="00EC733C">
        <w:tc>
          <w:tcPr>
            <w:tcW w:w="1567" w:type="pct"/>
          </w:tcPr>
          <w:p w14:paraId="782AA8E5" w14:textId="57824877" w:rsidR="00AF01BD" w:rsidRPr="007F2F35" w:rsidRDefault="00406AD8" w:rsidP="00871362">
            <w:pPr>
              <w:rPr>
                <w:rFonts w:ascii="Times New Roman" w:eastAsia="Times New Roman" w:hAnsi="Times New Roman" w:cs="Times New Roman"/>
                <w:b/>
                <w:iCs/>
                <w:color w:val="000000"/>
              </w:rPr>
            </w:pPr>
            <w:r w:rsidRPr="007F2F35">
              <w:rPr>
                <w:rFonts w:ascii="Times New Roman" w:eastAsia="Times New Roman" w:hAnsi="Times New Roman" w:cs="Times New Roman"/>
                <w:b/>
                <w:iCs/>
                <w:color w:val="000000"/>
              </w:rPr>
              <w:t>Year 3/2020 DLR:</w:t>
            </w:r>
          </w:p>
          <w:p w14:paraId="204E1774" w14:textId="4D37B7A6" w:rsidR="00406AD8" w:rsidRPr="007F2F35" w:rsidRDefault="00406AD8" w:rsidP="00406AD8">
            <w:pPr>
              <w:spacing w:after="120"/>
              <w:rPr>
                <w:rFonts w:ascii="Times New Roman" w:hAnsi="Times New Roman" w:cs="Times New Roman"/>
                <w:color w:val="000000" w:themeColor="text1"/>
                <w:sz w:val="23"/>
                <w:szCs w:val="23"/>
              </w:rPr>
            </w:pPr>
            <w:r w:rsidRPr="007F2F35">
              <w:rPr>
                <w:rFonts w:ascii="Times New Roman" w:hAnsi="Times New Roman" w:cs="Times New Roman"/>
                <w:sz w:val="23"/>
                <w:szCs w:val="23"/>
              </w:rPr>
              <w:t xml:space="preserve">7.2 </w:t>
            </w:r>
            <w:r w:rsidRPr="007F2F35">
              <w:rPr>
                <w:rFonts w:ascii="Times New Roman" w:hAnsi="Times New Roman" w:cs="Times New Roman"/>
                <w:color w:val="000000" w:themeColor="text1"/>
                <w:sz w:val="23"/>
                <w:szCs w:val="23"/>
              </w:rPr>
              <w:t>Quarterly state debt reports for Q2, Q3 and Q4 2020 accepted by the DMO on average two months or less after the end of the quarter in 2020 AND Annual state debt sustainability analysis published by end of December 2020</w:t>
            </w:r>
          </w:p>
          <w:p w14:paraId="137B2DFE" w14:textId="01C18B1C" w:rsidR="00406AD8" w:rsidRPr="007F2F35" w:rsidRDefault="00406AD8" w:rsidP="00406AD8">
            <w:pPr>
              <w:rPr>
                <w:rFonts w:ascii="Times New Roman" w:eastAsia="Times New Roman" w:hAnsi="Times New Roman" w:cs="Times New Roman"/>
                <w:b/>
                <w:iCs/>
                <w:color w:val="000000"/>
              </w:rPr>
            </w:pPr>
            <w:r w:rsidRPr="007F2F35">
              <w:rPr>
                <w:rFonts w:ascii="Times New Roman" w:eastAsia="Times New Roman" w:hAnsi="Times New Roman" w:cs="Times New Roman"/>
                <w:b/>
                <w:iCs/>
                <w:color w:val="000000"/>
              </w:rPr>
              <w:t>Year 4/2021 DLR:</w:t>
            </w:r>
          </w:p>
          <w:p w14:paraId="39FD66C1" w14:textId="5BA16309" w:rsidR="00AF01BD" w:rsidRPr="007F2F35" w:rsidRDefault="00406AD8" w:rsidP="00406AD8">
            <w:pPr>
              <w:spacing w:after="120"/>
              <w:rPr>
                <w:rFonts w:ascii="Times New Roman" w:hAnsi="Times New Roman" w:cs="Times New Roman"/>
                <w:sz w:val="23"/>
                <w:szCs w:val="23"/>
              </w:rPr>
            </w:pPr>
            <w:r w:rsidRPr="007F2F35">
              <w:rPr>
                <w:rFonts w:ascii="Times New Roman" w:hAnsi="Times New Roman" w:cs="Times New Roman"/>
                <w:sz w:val="23"/>
                <w:szCs w:val="23"/>
              </w:rPr>
              <w:t xml:space="preserve">7.2 </w:t>
            </w:r>
            <w:r w:rsidRPr="007F2F35">
              <w:rPr>
                <w:rFonts w:ascii="Times New Roman" w:hAnsi="Times New Roman" w:cs="Times New Roman"/>
                <w:color w:val="000000" w:themeColor="text1"/>
                <w:sz w:val="23"/>
                <w:szCs w:val="23"/>
              </w:rPr>
              <w:t>Quarterly state debt reports accepted by the DMO on average two months or less after the end of the quarter in 2021 AND Annual state debt sustainability analysis and Medium-term debt management strategy published by end of December 2021</w:t>
            </w:r>
          </w:p>
        </w:tc>
        <w:tc>
          <w:tcPr>
            <w:tcW w:w="3433" w:type="pct"/>
            <w:gridSpan w:val="2"/>
          </w:tcPr>
          <w:p w14:paraId="495BBB60" w14:textId="263197CD" w:rsidR="00AF01BD" w:rsidRPr="00631E23" w:rsidRDefault="00AF01BD" w:rsidP="00871362">
            <w:pPr>
              <w:rPr>
                <w:rFonts w:ascii="Times New Roman" w:hAnsi="Times New Roman" w:cs="Times New Roman"/>
              </w:rPr>
            </w:pPr>
            <w:r w:rsidRPr="007F2F35">
              <w:rPr>
                <w:rFonts w:ascii="Times New Roman" w:eastAsia="Times New Roman" w:hAnsi="Times New Roman" w:cs="Times New Roman"/>
                <w:b/>
                <w:bCs/>
                <w:color w:val="000000"/>
              </w:rPr>
              <w:t>Years 1 to 4:</w:t>
            </w:r>
            <w:r w:rsidRPr="007F2F35">
              <w:rPr>
                <w:rFonts w:ascii="Times New Roman" w:eastAsia="Times New Roman" w:hAnsi="Times New Roman" w:cs="Times New Roman"/>
                <w:color w:val="000000"/>
              </w:rPr>
              <w:t xml:space="preserve"> (i) States produce quarterly state domestic debt reports (SDDR), which are approved by the DMO on average two months after the end of the quarter.</w:t>
            </w:r>
            <w:r w:rsidRPr="007F2F35">
              <w:rPr>
                <w:rFonts w:ascii="Times New Roman" w:hAnsi="Times New Roman" w:cs="Times New Roman"/>
              </w:rPr>
              <w:t xml:space="preserve"> For 2018, only Q4 2018 is assessed as the new quarterly report template was rolled out only in Q4 2018. For 2019</w:t>
            </w:r>
            <w:r w:rsidR="001C347D" w:rsidRPr="007F2F35">
              <w:rPr>
                <w:rFonts w:ascii="Times New Roman" w:hAnsi="Times New Roman" w:cs="Times New Roman"/>
              </w:rPr>
              <w:t>, 2020</w:t>
            </w:r>
            <w:r w:rsidR="004276B5" w:rsidRPr="007F2F35">
              <w:rPr>
                <w:rFonts w:ascii="Times New Roman" w:hAnsi="Times New Roman" w:cs="Times New Roman"/>
              </w:rPr>
              <w:t xml:space="preserve"> and </w:t>
            </w:r>
            <w:r w:rsidRPr="007F2F35">
              <w:rPr>
                <w:rFonts w:ascii="Times New Roman" w:hAnsi="Times New Roman" w:cs="Times New Roman"/>
              </w:rPr>
              <w:t>2021, all four quarters are assessed</w:t>
            </w:r>
            <w:r w:rsidR="001C347D" w:rsidRPr="007F2F35">
              <w:rPr>
                <w:rFonts w:ascii="Times New Roman" w:hAnsi="Times New Roman" w:cs="Times New Roman"/>
              </w:rPr>
              <w:t xml:space="preserve"> but for purpose of computing timeliness, only </w:t>
            </w:r>
            <w:r w:rsidR="004276B5" w:rsidRPr="007F2F35">
              <w:rPr>
                <w:rFonts w:ascii="Times New Roman" w:hAnsi="Times New Roman" w:cs="Times New Roman"/>
              </w:rPr>
              <w:t xml:space="preserve">Q2, Q3 and Q4 2020 are </w:t>
            </w:r>
            <w:r w:rsidR="001C347D" w:rsidRPr="007F2F35">
              <w:rPr>
                <w:rFonts w:ascii="Times New Roman" w:hAnsi="Times New Roman" w:cs="Times New Roman"/>
              </w:rPr>
              <w:t xml:space="preserve">considered </w:t>
            </w:r>
            <w:r w:rsidR="001C347D" w:rsidRPr="00631E23">
              <w:rPr>
                <w:rFonts w:ascii="Times New Roman" w:hAnsi="Times New Roman" w:cs="Times New Roman"/>
              </w:rPr>
              <w:t>for FY2020.</w:t>
            </w:r>
          </w:p>
          <w:p w14:paraId="5F3033BB" w14:textId="77777777" w:rsidR="00AF01BD" w:rsidRPr="00631E23" w:rsidRDefault="00AF01BD" w:rsidP="00871362">
            <w:pPr>
              <w:rPr>
                <w:rFonts w:ascii="Times New Roman" w:hAnsi="Times New Roman" w:cs="Times New Roman"/>
              </w:rPr>
            </w:pPr>
          </w:p>
          <w:p w14:paraId="573D6F50" w14:textId="63CE0149" w:rsidR="00AF01BD" w:rsidRPr="00631E23" w:rsidRDefault="00AF01BD" w:rsidP="00871362">
            <w:pPr>
              <w:rPr>
                <w:rFonts w:ascii="Times New Roman" w:hAnsi="Times New Roman" w:cs="Times New Roman"/>
              </w:rPr>
            </w:pPr>
            <w:r w:rsidRPr="00631E23">
              <w:rPr>
                <w:rFonts w:ascii="Times New Roman" w:hAnsi="Times New Roman" w:cs="Times New Roman"/>
                <w:color w:val="000000" w:themeColor="text1"/>
              </w:rPr>
              <w:t xml:space="preserve">Year </w:t>
            </w:r>
            <w:r w:rsidR="002C3807" w:rsidRPr="00631E23">
              <w:rPr>
                <w:rFonts w:ascii="Times New Roman" w:hAnsi="Times New Roman" w:cs="Times New Roman"/>
                <w:color w:val="000000" w:themeColor="text1"/>
              </w:rPr>
              <w:t>3</w:t>
            </w:r>
            <w:r w:rsidRPr="00631E23">
              <w:rPr>
                <w:rFonts w:ascii="Times New Roman" w:hAnsi="Times New Roman" w:cs="Times New Roman"/>
                <w:color w:val="000000" w:themeColor="text1"/>
              </w:rPr>
              <w:t>: (ii) States publish</w:t>
            </w:r>
            <w:r w:rsidR="00891604" w:rsidRPr="00631E23">
              <w:rPr>
                <w:rFonts w:ascii="Times New Roman" w:hAnsi="Times New Roman" w:cs="Times New Roman"/>
                <w:color w:val="000000" w:themeColor="text1"/>
              </w:rPr>
              <w:t xml:space="preserve"> </w:t>
            </w:r>
            <w:r w:rsidR="007F2F35" w:rsidRPr="00631E23">
              <w:rPr>
                <w:rFonts w:ascii="Times New Roman" w:hAnsi="Times New Roman" w:cs="Times New Roman"/>
                <w:color w:val="000000" w:themeColor="text1"/>
              </w:rPr>
              <w:t xml:space="preserve">an </w:t>
            </w:r>
            <w:r w:rsidRPr="00631E23">
              <w:rPr>
                <w:rFonts w:ascii="Times New Roman" w:hAnsi="Times New Roman" w:cs="Times New Roman"/>
                <w:color w:val="000000" w:themeColor="text1"/>
              </w:rPr>
              <w:t xml:space="preserve">annual </w:t>
            </w:r>
            <w:r w:rsidR="00D06009" w:rsidRPr="00631E23">
              <w:rPr>
                <w:rFonts w:ascii="Times New Roman" w:hAnsi="Times New Roman" w:cs="Times New Roman"/>
                <w:color w:val="000000" w:themeColor="text1"/>
              </w:rPr>
              <w:t>S</w:t>
            </w:r>
            <w:r w:rsidRPr="00631E23">
              <w:rPr>
                <w:rFonts w:ascii="Times New Roman" w:hAnsi="Times New Roman" w:cs="Times New Roman"/>
                <w:color w:val="000000" w:themeColor="text1"/>
              </w:rPr>
              <w:t xml:space="preserve">tate </w:t>
            </w:r>
            <w:r w:rsidR="00D06009" w:rsidRPr="00631E23">
              <w:rPr>
                <w:rFonts w:ascii="Times New Roman" w:hAnsi="Times New Roman" w:cs="Times New Roman"/>
                <w:color w:val="000000" w:themeColor="text1"/>
              </w:rPr>
              <w:t>D</w:t>
            </w:r>
            <w:r w:rsidRPr="00631E23">
              <w:rPr>
                <w:rFonts w:ascii="Times New Roman" w:hAnsi="Times New Roman" w:cs="Times New Roman"/>
                <w:color w:val="000000" w:themeColor="text1"/>
              </w:rPr>
              <w:t xml:space="preserve">ebt </w:t>
            </w:r>
            <w:r w:rsidR="00D06009" w:rsidRPr="00631E23">
              <w:rPr>
                <w:rFonts w:ascii="Times New Roman" w:hAnsi="Times New Roman" w:cs="Times New Roman"/>
                <w:color w:val="000000" w:themeColor="text1"/>
              </w:rPr>
              <w:t>S</w:t>
            </w:r>
            <w:r w:rsidRPr="00631E23">
              <w:rPr>
                <w:rFonts w:ascii="Times New Roman" w:hAnsi="Times New Roman" w:cs="Times New Roman"/>
                <w:color w:val="000000" w:themeColor="text1"/>
              </w:rPr>
              <w:t xml:space="preserve">ustainability </w:t>
            </w:r>
            <w:r w:rsidR="00D06009" w:rsidRPr="00631E23">
              <w:rPr>
                <w:rFonts w:ascii="Times New Roman" w:hAnsi="Times New Roman" w:cs="Times New Roman"/>
                <w:color w:val="000000" w:themeColor="text1"/>
              </w:rPr>
              <w:t>A</w:t>
            </w:r>
            <w:r w:rsidRPr="00631E23">
              <w:rPr>
                <w:rFonts w:ascii="Times New Roman" w:hAnsi="Times New Roman" w:cs="Times New Roman"/>
                <w:color w:val="000000" w:themeColor="text1"/>
              </w:rPr>
              <w:t xml:space="preserve">nalysis (DSA) </w:t>
            </w:r>
            <w:r w:rsidR="00D06009" w:rsidRPr="00631E23">
              <w:rPr>
                <w:rFonts w:ascii="Times New Roman" w:hAnsi="Times New Roman" w:cs="Times New Roman"/>
                <w:color w:val="000000" w:themeColor="text1"/>
              </w:rPr>
              <w:t>R</w:t>
            </w:r>
            <w:r w:rsidRPr="00631E23">
              <w:rPr>
                <w:rFonts w:ascii="Times New Roman" w:hAnsi="Times New Roman" w:cs="Times New Roman"/>
                <w:color w:val="000000" w:themeColor="text1"/>
              </w:rPr>
              <w:t xml:space="preserve">eport (SDSAR) by </w:t>
            </w:r>
            <w:r w:rsidR="00C6032C" w:rsidRPr="00631E23">
              <w:rPr>
                <w:rFonts w:ascii="Times New Roman" w:hAnsi="Times New Roman" w:cs="Times New Roman"/>
                <w:color w:val="000000" w:themeColor="text1"/>
              </w:rPr>
              <w:t>December 31, 2021</w:t>
            </w:r>
            <w:r w:rsidRPr="00631E23">
              <w:rPr>
                <w:rFonts w:ascii="Times New Roman" w:hAnsi="Times New Roman" w:cs="Times New Roman"/>
                <w:color w:val="000000" w:themeColor="text1"/>
              </w:rPr>
              <w:t xml:space="preserve">. The SDSAR must include the following: </w:t>
            </w:r>
            <w:r w:rsidR="00FD5066" w:rsidRPr="00631E23">
              <w:rPr>
                <w:rFonts w:ascii="Times New Roman" w:hAnsi="Times New Roman" w:cs="Times New Roman"/>
                <w:color w:val="000000" w:themeColor="text1"/>
              </w:rPr>
              <w:t>(</w:t>
            </w:r>
            <w:r w:rsidRPr="00631E23">
              <w:rPr>
                <w:rFonts w:ascii="Times New Roman" w:hAnsi="Times New Roman" w:cs="Times New Roman"/>
                <w:color w:val="000000" w:themeColor="text1"/>
              </w:rPr>
              <w:t xml:space="preserve">1) medium-term budget forecasts; </w:t>
            </w:r>
            <w:r w:rsidR="00FD5066" w:rsidRPr="00631E23">
              <w:rPr>
                <w:rFonts w:ascii="Times New Roman" w:hAnsi="Times New Roman" w:cs="Times New Roman"/>
                <w:color w:val="000000" w:themeColor="text1"/>
              </w:rPr>
              <w:t>(</w:t>
            </w:r>
            <w:r w:rsidRPr="00631E23">
              <w:rPr>
                <w:rFonts w:ascii="Times New Roman" w:hAnsi="Times New Roman" w:cs="Times New Roman"/>
                <w:color w:val="000000" w:themeColor="text1"/>
              </w:rPr>
              <w:t xml:space="preserve">2) detailed description of the debt portfolio and borrowing options; and </w:t>
            </w:r>
            <w:r w:rsidR="00FD5066" w:rsidRPr="00631E23">
              <w:rPr>
                <w:rFonts w:ascii="Times New Roman" w:hAnsi="Times New Roman" w:cs="Times New Roman"/>
                <w:color w:val="000000" w:themeColor="text1"/>
              </w:rPr>
              <w:t>(</w:t>
            </w:r>
            <w:r w:rsidRPr="00631E23">
              <w:rPr>
                <w:rFonts w:ascii="Times New Roman" w:hAnsi="Times New Roman" w:cs="Times New Roman"/>
                <w:color w:val="000000" w:themeColor="text1"/>
              </w:rPr>
              <w:t xml:space="preserve">3) analysis of the debt and fiscal figures in the preceding calendar year. The SDSAR </w:t>
            </w:r>
            <w:r w:rsidRPr="00631E23">
              <w:rPr>
                <w:rFonts w:ascii="Times New Roman" w:hAnsi="Times New Roman" w:cs="Times New Roman"/>
              </w:rPr>
              <w:t xml:space="preserve">must be published on a state official website. </w:t>
            </w:r>
            <w:r w:rsidR="00066D6E" w:rsidRPr="00631E23">
              <w:rPr>
                <w:rFonts w:ascii="Times New Roman" w:hAnsi="Times New Roman" w:cs="Times New Roman"/>
              </w:rPr>
              <w:t xml:space="preserve">See below for </w:t>
            </w:r>
            <w:r w:rsidR="00EC733C" w:rsidRPr="00631E23">
              <w:rPr>
                <w:rFonts w:ascii="Times New Roman" w:hAnsi="Times New Roman" w:cs="Times New Roman"/>
              </w:rPr>
              <w:t xml:space="preserve">the detailed definition </w:t>
            </w:r>
            <w:r w:rsidR="00066D6E" w:rsidRPr="00631E23">
              <w:rPr>
                <w:rFonts w:ascii="Times New Roman" w:hAnsi="Times New Roman" w:cs="Times New Roman"/>
              </w:rPr>
              <w:t>of the minimum requirements of the SDSAR for</w:t>
            </w:r>
            <w:r w:rsidR="007F2F35" w:rsidRPr="00631E23">
              <w:rPr>
                <w:rFonts w:ascii="Times New Roman" w:hAnsi="Times New Roman" w:cs="Times New Roman"/>
              </w:rPr>
              <w:t xml:space="preserve"> Year 3(</w:t>
            </w:r>
            <w:r w:rsidR="00A123A9">
              <w:rPr>
                <w:rFonts w:ascii="Times New Roman" w:hAnsi="Times New Roman" w:cs="Times New Roman"/>
              </w:rPr>
              <w:t>2020)</w:t>
            </w:r>
            <w:r w:rsidR="00405556" w:rsidRPr="00631E23">
              <w:rPr>
                <w:rFonts w:ascii="Times New Roman" w:hAnsi="Times New Roman" w:cs="Times New Roman"/>
              </w:rPr>
              <w:t>.</w:t>
            </w:r>
          </w:p>
          <w:p w14:paraId="6AE43CDB" w14:textId="77777777" w:rsidR="00AF01BD" w:rsidRPr="00631E23" w:rsidRDefault="00AF01BD" w:rsidP="00871362">
            <w:pPr>
              <w:rPr>
                <w:rFonts w:ascii="Times New Roman" w:hAnsi="Times New Roman" w:cs="Times New Roman"/>
              </w:rPr>
            </w:pPr>
          </w:p>
          <w:p w14:paraId="33E88626" w14:textId="1346154A" w:rsidR="00FC40FE" w:rsidRPr="007F2F35" w:rsidRDefault="00AF01BD" w:rsidP="00871362">
            <w:pPr>
              <w:rPr>
                <w:rFonts w:ascii="Times New Roman" w:hAnsi="Times New Roman" w:cs="Times New Roman"/>
              </w:rPr>
            </w:pPr>
            <w:r w:rsidRPr="00631E23">
              <w:rPr>
                <w:rFonts w:ascii="Times New Roman" w:hAnsi="Times New Roman" w:cs="Times New Roman"/>
                <w:color w:val="000000" w:themeColor="text1"/>
              </w:rPr>
              <w:t xml:space="preserve">Year 4: (iii) States </w:t>
            </w:r>
            <w:r w:rsidR="00B21605" w:rsidRPr="00631E23">
              <w:rPr>
                <w:rFonts w:ascii="Times New Roman" w:hAnsi="Times New Roman" w:cs="Times New Roman"/>
                <w:color w:val="000000" w:themeColor="text1"/>
              </w:rPr>
              <w:t xml:space="preserve">publish </w:t>
            </w:r>
            <w:r w:rsidR="001B388E" w:rsidRPr="00631E23">
              <w:rPr>
                <w:rFonts w:ascii="Times New Roman" w:hAnsi="Times New Roman" w:cs="Times New Roman"/>
              </w:rPr>
              <w:t>an annual</w:t>
            </w:r>
            <w:r w:rsidR="00A123A9">
              <w:rPr>
                <w:rFonts w:ascii="Times New Roman" w:hAnsi="Times New Roman" w:cs="Times New Roman"/>
              </w:rPr>
              <w:t xml:space="preserve"> State Debt Sustainability Analysis and Debt Management Strategy Report (SDSA-DMSR) by December 31, </w:t>
            </w:r>
            <w:r w:rsidR="00A123A9" w:rsidRPr="00631E23">
              <w:rPr>
                <w:rFonts w:ascii="Times New Roman" w:hAnsi="Times New Roman" w:cs="Times New Roman"/>
              </w:rPr>
              <w:t>2021.</w:t>
            </w:r>
            <w:r w:rsidR="00A123A9">
              <w:rPr>
                <w:rFonts w:ascii="Times New Roman" w:hAnsi="Times New Roman" w:cs="Times New Roman"/>
              </w:rPr>
              <w:t xml:space="preserve"> The SDSA-DMSR</w:t>
            </w:r>
            <w:r w:rsidR="00F6246C" w:rsidRPr="00631E23">
              <w:rPr>
                <w:rFonts w:ascii="Times New Roman" w:hAnsi="Times New Roman" w:cs="Times New Roman"/>
                <w:color w:val="000000" w:themeColor="text1"/>
              </w:rPr>
              <w:t xml:space="preserve"> must include the following: (1) medium-term budget forecasts; (2) detailed description of the debt portfolio and borrowing options; including a summary analysis of the projections of performance indicators used to assess Debt Management Strategy,</w:t>
            </w:r>
            <w:r w:rsidR="00A123A9">
              <w:rPr>
                <w:rFonts w:ascii="Times New Roman" w:hAnsi="Times New Roman" w:cs="Times New Roman"/>
                <w:color w:val="000000" w:themeColor="text1"/>
              </w:rPr>
              <w:t xml:space="preserve"> and their implications for cost-risk profile of State debt portfolio in 2025</w:t>
            </w:r>
            <w:r w:rsidR="00F6246C" w:rsidRPr="00631E23">
              <w:rPr>
                <w:rFonts w:ascii="Times New Roman" w:hAnsi="Times New Roman" w:cs="Times New Roman"/>
                <w:color w:val="000000" w:themeColor="text1"/>
              </w:rPr>
              <w:t xml:space="preserve">; and (3) </w:t>
            </w:r>
            <w:r w:rsidR="00F6246C" w:rsidRPr="00631E23">
              <w:rPr>
                <w:rFonts w:ascii="Times New Roman" w:hAnsi="Times New Roman" w:cs="Times New Roman"/>
                <w:color w:val="000000" w:themeColor="text1"/>
              </w:rPr>
              <w:lastRenderedPageBreak/>
              <w:t>analysis of the debt and fiscal figures in the preceding calendar year.</w:t>
            </w:r>
            <w:r w:rsidRPr="00631E23">
              <w:rPr>
                <w:rFonts w:ascii="Times New Roman" w:hAnsi="Times New Roman" w:cs="Times New Roman"/>
                <w:color w:val="000000" w:themeColor="text1"/>
              </w:rPr>
              <w:t xml:space="preserve"> </w:t>
            </w:r>
            <w:r w:rsidR="00BB2387" w:rsidRPr="00631E23">
              <w:rPr>
                <w:rFonts w:ascii="Times New Roman" w:hAnsi="Times New Roman" w:cs="Times New Roman"/>
                <w:color w:val="000000" w:themeColor="text1"/>
              </w:rPr>
              <w:t xml:space="preserve">The SDSA-DMSR must be published on a state official website. </w:t>
            </w:r>
            <w:r w:rsidR="00BB2387" w:rsidRPr="00631E23">
              <w:rPr>
                <w:rFonts w:ascii="Times New Roman" w:hAnsi="Times New Roman" w:cs="Times New Roman"/>
              </w:rPr>
              <w:t xml:space="preserve">See below for the detailed definition of the minimum requirements of the </w:t>
            </w:r>
            <w:r w:rsidR="00A123A9">
              <w:rPr>
                <w:rFonts w:ascii="Times New Roman" w:hAnsi="Times New Roman" w:cs="Times New Roman"/>
              </w:rPr>
              <w:t>SDSA-DMSR for Year 4 (2021).</w:t>
            </w:r>
            <w:r w:rsidRPr="007F2F35">
              <w:rPr>
                <w:rFonts w:ascii="Times New Roman" w:hAnsi="Times New Roman" w:cs="Times New Roman"/>
              </w:rPr>
              <w:t xml:space="preserve"> </w:t>
            </w:r>
          </w:p>
          <w:p w14:paraId="0511B7B0" w14:textId="46E7565A" w:rsidR="0033247E" w:rsidRPr="007F2F35" w:rsidRDefault="0033247E" w:rsidP="00871362">
            <w:pPr>
              <w:rPr>
                <w:rFonts w:ascii="Times New Roman" w:hAnsi="Times New Roman" w:cs="Times New Roman"/>
              </w:rPr>
            </w:pPr>
          </w:p>
        </w:tc>
      </w:tr>
      <w:tr w:rsidR="00EF5E28" w:rsidRPr="00F66630" w14:paraId="470F18A2" w14:textId="77777777" w:rsidTr="0033247E">
        <w:tc>
          <w:tcPr>
            <w:tcW w:w="2450" w:type="pct"/>
            <w:gridSpan w:val="2"/>
          </w:tcPr>
          <w:p w14:paraId="021AE87F" w14:textId="2FDA44D5" w:rsidR="00EF5E28" w:rsidRPr="00F66630" w:rsidRDefault="00EF5E28" w:rsidP="009B0D0E">
            <w:pPr>
              <w:rPr>
                <w:rFonts w:ascii="Times New Roman" w:hAnsi="Times New Roman" w:cs="Times New Roman"/>
              </w:rPr>
            </w:pPr>
            <w:r w:rsidRPr="00F66630">
              <w:rPr>
                <w:rFonts w:ascii="Times New Roman" w:hAnsi="Times New Roman" w:cs="Times New Roman"/>
                <w:b/>
                <w:bCs/>
              </w:rPr>
              <w:lastRenderedPageBreak/>
              <w:t xml:space="preserve">For Year 3, the SDSAR 2020 must include:  </w:t>
            </w:r>
          </w:p>
        </w:tc>
        <w:tc>
          <w:tcPr>
            <w:tcW w:w="2549" w:type="pct"/>
          </w:tcPr>
          <w:p w14:paraId="5D55FE71" w14:textId="76B495F9" w:rsidR="00EF5E28" w:rsidRPr="00F66630" w:rsidRDefault="00EF5E28" w:rsidP="009B0D0E">
            <w:pPr>
              <w:rPr>
                <w:rFonts w:ascii="Times New Roman" w:hAnsi="Times New Roman" w:cs="Times New Roman"/>
              </w:rPr>
            </w:pPr>
            <w:r w:rsidRPr="00F66630">
              <w:rPr>
                <w:rFonts w:ascii="Times New Roman" w:hAnsi="Times New Roman" w:cs="Times New Roman"/>
                <w:b/>
                <w:bCs/>
              </w:rPr>
              <w:t>For Year 4, the SDSA</w:t>
            </w:r>
            <w:r w:rsidR="00FA126A" w:rsidRPr="00F66630">
              <w:rPr>
                <w:rFonts w:ascii="Times New Roman" w:hAnsi="Times New Roman" w:cs="Times New Roman"/>
                <w:b/>
                <w:bCs/>
              </w:rPr>
              <w:t>-DMS</w:t>
            </w:r>
            <w:r w:rsidRPr="00F66630">
              <w:rPr>
                <w:rFonts w:ascii="Times New Roman" w:hAnsi="Times New Roman" w:cs="Times New Roman"/>
                <w:b/>
                <w:bCs/>
              </w:rPr>
              <w:t xml:space="preserve">R 2021 must include:  </w:t>
            </w:r>
          </w:p>
        </w:tc>
      </w:tr>
      <w:tr w:rsidR="00EF5E28" w:rsidRPr="00F66630" w14:paraId="7F40179A" w14:textId="77777777" w:rsidTr="0033247E">
        <w:tc>
          <w:tcPr>
            <w:tcW w:w="2450" w:type="pct"/>
            <w:gridSpan w:val="2"/>
          </w:tcPr>
          <w:p w14:paraId="2930D8B1" w14:textId="094EF70C" w:rsidR="00EF5E28" w:rsidRPr="00F66630" w:rsidRDefault="00EF5E28" w:rsidP="00EF5E28">
            <w:pPr>
              <w:contextualSpacing/>
              <w:rPr>
                <w:rFonts w:ascii="Times New Roman" w:hAnsi="Times New Roman" w:cs="Times New Roman"/>
                <w:b/>
                <w:bCs/>
              </w:rPr>
            </w:pPr>
            <w:r w:rsidRPr="00F66630">
              <w:rPr>
                <w:rFonts w:ascii="Times New Roman" w:hAnsi="Times New Roman" w:cs="Times New Roman"/>
              </w:rPr>
              <w:t xml:space="preserve">For </w:t>
            </w:r>
            <w:r w:rsidR="00D13DD3" w:rsidRPr="00F66630">
              <w:rPr>
                <w:rFonts w:ascii="Times New Roman" w:hAnsi="Times New Roman" w:cs="Times New Roman"/>
                <w:b/>
                <w:bCs/>
              </w:rPr>
              <w:t>(</w:t>
            </w:r>
            <w:r w:rsidRPr="00F66630">
              <w:rPr>
                <w:rFonts w:ascii="Times New Roman" w:hAnsi="Times New Roman" w:cs="Times New Roman"/>
                <w:b/>
                <w:bCs/>
                <w:i/>
                <w:iCs/>
              </w:rPr>
              <w:t>1)</w:t>
            </w:r>
            <w:r w:rsidRPr="00F66630">
              <w:rPr>
                <w:rFonts w:ascii="Times New Roman" w:hAnsi="Times New Roman" w:cs="Times New Roman"/>
                <w:i/>
                <w:iCs/>
              </w:rPr>
              <w:t xml:space="preserve"> </w:t>
            </w:r>
            <w:r w:rsidRPr="00F66630">
              <w:rPr>
                <w:rFonts w:ascii="Times New Roman" w:hAnsi="Times New Roman" w:cs="Times New Roman"/>
                <w:b/>
                <w:bCs/>
                <w:i/>
                <w:iCs/>
              </w:rPr>
              <w:t>medium-term budget (MTB) forecasts,</w:t>
            </w:r>
            <w:r w:rsidRPr="00F66630">
              <w:rPr>
                <w:rFonts w:ascii="Times New Roman" w:hAnsi="Times New Roman" w:cs="Times New Roman"/>
                <w:b/>
                <w:bCs/>
              </w:rPr>
              <w:t xml:space="preserve"> the SDSAR 2020 must contain: </w:t>
            </w:r>
          </w:p>
          <w:p w14:paraId="3592B40C" w14:textId="77777777" w:rsidR="000F448B" w:rsidRPr="00F66630" w:rsidRDefault="000F448B" w:rsidP="00EF5E28">
            <w:pPr>
              <w:contextualSpacing/>
              <w:rPr>
                <w:rFonts w:ascii="Times New Roman" w:hAnsi="Times New Roman" w:cs="Times New Roman"/>
                <w:b/>
                <w:bCs/>
              </w:rPr>
            </w:pPr>
          </w:p>
          <w:p w14:paraId="51F5CFF9" w14:textId="08541387" w:rsidR="00EF5E28" w:rsidRPr="00F66630" w:rsidRDefault="00EF5E28" w:rsidP="00D4525E">
            <w:pPr>
              <w:pStyle w:val="ListParagraph"/>
              <w:numPr>
                <w:ilvl w:val="1"/>
                <w:numId w:val="115"/>
              </w:numPr>
              <w:rPr>
                <w:rFonts w:ascii="Times New Roman" w:hAnsi="Times New Roman" w:cs="Times New Roman"/>
                <w:b/>
                <w:bCs/>
              </w:rPr>
            </w:pPr>
            <w:r w:rsidRPr="00F66630">
              <w:rPr>
                <w:rFonts w:ascii="Times New Roman" w:hAnsi="Times New Roman" w:cs="Times New Roman"/>
                <w:b/>
                <w:bCs/>
              </w:rPr>
              <w:t xml:space="preserve">Presentation of MTB forecasts in either a </w:t>
            </w:r>
            <w:r w:rsidRPr="00F66630">
              <w:rPr>
                <w:rFonts w:ascii="Times New Roman" w:hAnsi="Times New Roman" w:cs="Times New Roman"/>
                <w:b/>
              </w:rPr>
              <w:t xml:space="preserve">table </w:t>
            </w:r>
            <w:r w:rsidRPr="00F66630">
              <w:rPr>
                <w:rFonts w:ascii="Times New Roman" w:hAnsi="Times New Roman" w:cs="Times New Roman"/>
                <w:b/>
                <w:bCs/>
              </w:rPr>
              <w:t xml:space="preserve">OR chart(s) (OR both table and chart(s)) with </w:t>
            </w:r>
            <w:r w:rsidRPr="00F66630">
              <w:rPr>
                <w:rFonts w:ascii="Times New Roman" w:hAnsi="Times New Roman" w:cs="Times New Roman"/>
                <w:b/>
              </w:rPr>
              <w:t>projected</w:t>
            </w:r>
            <w:r w:rsidRPr="00F66630">
              <w:rPr>
                <w:rFonts w:ascii="Times New Roman" w:hAnsi="Times New Roman" w:cs="Times New Roman"/>
                <w:b/>
                <w:bCs/>
              </w:rPr>
              <w:t xml:space="preserve"> annual figures from </w:t>
            </w:r>
            <w:r w:rsidRPr="00F66630">
              <w:rPr>
                <w:rFonts w:ascii="Times New Roman" w:hAnsi="Times New Roman" w:cs="Times New Roman"/>
                <w:b/>
              </w:rPr>
              <w:t xml:space="preserve">2020 </w:t>
            </w:r>
            <w:r w:rsidRPr="00F66630">
              <w:rPr>
                <w:rFonts w:ascii="Times New Roman" w:hAnsi="Times New Roman" w:cs="Times New Roman"/>
                <w:b/>
                <w:bCs/>
              </w:rPr>
              <w:t xml:space="preserve">to 2023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w:t>
            </w:r>
          </w:p>
          <w:p w14:paraId="5E385CD8"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Revenues: Total Revenues, FAAC, Derivation (if applicable), IGR, Capital Receipts, and Grants.</w:t>
            </w:r>
          </w:p>
          <w:p w14:paraId="334EBF0F"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6F046E33"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Budget Balance. </w:t>
            </w:r>
          </w:p>
          <w:p w14:paraId="18048CDF"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019D01AF" w14:textId="5E23D712" w:rsidR="00EF5E28" w:rsidRPr="00F66630" w:rsidRDefault="00EF5E28" w:rsidP="00D4525E">
            <w:pPr>
              <w:pStyle w:val="ListParagraph"/>
              <w:numPr>
                <w:ilvl w:val="1"/>
                <w:numId w:val="115"/>
              </w:numPr>
              <w:rPr>
                <w:rFonts w:ascii="Times New Roman" w:hAnsi="Times New Roman" w:cs="Times New Roman"/>
              </w:rPr>
            </w:pPr>
            <w:r w:rsidRPr="00F66630">
              <w:rPr>
                <w:rFonts w:ascii="Times New Roman" w:hAnsi="Times New Roman" w:cs="Times New Roman"/>
                <w:b/>
                <w:bCs/>
              </w:rPr>
              <w:t>Description of assumptions underpinning the MTB forecasts from 2020 to 2023:  either a table with assumptions OR corresponding explanations in writing (OR both)</w:t>
            </w:r>
            <w:r w:rsidRPr="00F66630">
              <w:rPr>
                <w:rFonts w:ascii="Times New Roman" w:hAnsi="Times New Roman" w:cs="Times New Roman"/>
              </w:rPr>
              <w:t xml:space="preserve"> </w:t>
            </w:r>
            <w:r w:rsidRPr="00F66630">
              <w:rPr>
                <w:rFonts w:ascii="Times New Roman" w:hAnsi="Times New Roman" w:cs="Times New Roman"/>
                <w:b/>
                <w:bCs/>
              </w:rPr>
              <w:t xml:space="preserve">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w:t>
            </w:r>
          </w:p>
          <w:p w14:paraId="7F5652AA" w14:textId="77777777" w:rsidR="00EF5E28" w:rsidRPr="00F66630" w:rsidRDefault="00EF5E28" w:rsidP="00EF5E28">
            <w:pPr>
              <w:numPr>
                <w:ilvl w:val="0"/>
                <w:numId w:val="95"/>
              </w:numPr>
              <w:ind w:left="1080"/>
              <w:contextualSpacing/>
              <w:rPr>
                <w:rFonts w:ascii="Times New Roman" w:hAnsi="Times New Roman" w:cs="Times New Roman"/>
              </w:rPr>
            </w:pPr>
            <w:r w:rsidRPr="00F66630">
              <w:rPr>
                <w:rFonts w:ascii="Times New Roman" w:hAnsi="Times New Roman" w:cs="Times New Roman"/>
              </w:rPr>
              <w:t xml:space="preserve">Revenues: Total Revenues, FAAC, Derivation (if applicable), IGR, Capital Receipts, and Grants. </w:t>
            </w:r>
          </w:p>
          <w:p w14:paraId="2DAE3786" w14:textId="77777777" w:rsidR="00EF5E28" w:rsidRPr="00F66630" w:rsidRDefault="00EF5E28" w:rsidP="00EF5E28">
            <w:pPr>
              <w:numPr>
                <w:ilvl w:val="0"/>
                <w:numId w:val="95"/>
              </w:numPr>
              <w:ind w:left="1080"/>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0F94E720" w14:textId="77777777" w:rsidR="00EF5E28" w:rsidRPr="00F66630" w:rsidRDefault="00EF5E28" w:rsidP="00EF5E28">
            <w:pPr>
              <w:numPr>
                <w:ilvl w:val="0"/>
                <w:numId w:val="95"/>
              </w:numPr>
              <w:ind w:left="1080"/>
              <w:contextualSpacing/>
              <w:rPr>
                <w:rFonts w:ascii="Times New Roman" w:hAnsi="Times New Roman" w:cs="Times New Roman"/>
                <w:b/>
                <w:bCs/>
              </w:rPr>
            </w:pPr>
            <w:r w:rsidRPr="00F66630">
              <w:rPr>
                <w:rFonts w:ascii="Times New Roman" w:hAnsi="Times New Roman" w:cs="Times New Roman"/>
              </w:rPr>
              <w:t>Budget Balance.</w:t>
            </w:r>
          </w:p>
          <w:p w14:paraId="5E736920" w14:textId="77777777" w:rsidR="00EF5E28" w:rsidRPr="00F66630" w:rsidRDefault="00EF5E28" w:rsidP="009B0D0E">
            <w:pPr>
              <w:ind w:left="1080"/>
              <w:contextualSpacing/>
              <w:rPr>
                <w:rFonts w:ascii="Times New Roman" w:hAnsi="Times New Roman" w:cs="Times New Roman"/>
                <w:b/>
                <w:bCs/>
              </w:rPr>
            </w:pPr>
            <w:r w:rsidRPr="00F66630">
              <w:rPr>
                <w:rFonts w:ascii="Times New Roman" w:hAnsi="Times New Roman" w:cs="Times New Roman"/>
                <w:b/>
                <w:bCs/>
              </w:rPr>
              <w:t>AND</w:t>
            </w:r>
          </w:p>
          <w:p w14:paraId="0C94DACD" w14:textId="268EE1EE" w:rsidR="00EF5E28" w:rsidRPr="00F66630" w:rsidRDefault="00EF5E28" w:rsidP="00D4525E">
            <w:pPr>
              <w:pStyle w:val="ListParagraph"/>
              <w:numPr>
                <w:ilvl w:val="1"/>
                <w:numId w:val="115"/>
              </w:numPr>
              <w:rPr>
                <w:rFonts w:ascii="Times New Roman" w:hAnsi="Times New Roman" w:cs="Times New Roman"/>
                <w:b/>
                <w:bCs/>
                <w:i/>
                <w:iCs/>
              </w:rPr>
            </w:pPr>
            <w:r w:rsidRPr="00F66630">
              <w:rPr>
                <w:rFonts w:ascii="Times New Roman" w:hAnsi="Times New Roman" w:cs="Times New Roman"/>
                <w:b/>
                <w:bCs/>
              </w:rPr>
              <w:t xml:space="preserve">The presentation and analysis in the entire forecast period need to be of adequate quality, and </w:t>
            </w:r>
            <w:r w:rsidR="00C63469" w:rsidRPr="00F66630">
              <w:rPr>
                <w:rFonts w:ascii="Times New Roman" w:hAnsi="Times New Roman" w:cs="Times New Roman"/>
                <w:b/>
                <w:bCs/>
              </w:rPr>
              <w:t xml:space="preserve">do </w:t>
            </w:r>
            <w:r w:rsidRPr="00F66630">
              <w:rPr>
                <w:rFonts w:ascii="Times New Roman" w:hAnsi="Times New Roman" w:cs="Times New Roman"/>
                <w:b/>
                <w:bCs/>
              </w:rPr>
              <w:t>not contain:</w:t>
            </w:r>
          </w:p>
          <w:p w14:paraId="459AACB6" w14:textId="77777777" w:rsidR="00EF5E28" w:rsidRPr="00F66630" w:rsidRDefault="00EF5E28" w:rsidP="00D63CBD">
            <w:pPr>
              <w:pStyle w:val="ListParagraph"/>
              <w:numPr>
                <w:ilvl w:val="0"/>
                <w:numId w:val="96"/>
              </w:numPr>
              <w:ind w:left="1440"/>
              <w:rPr>
                <w:rFonts w:ascii="Times New Roman" w:hAnsi="Times New Roman" w:cs="Times New Roman"/>
              </w:rPr>
            </w:pPr>
            <w:r w:rsidRPr="00F66630">
              <w:rPr>
                <w:rFonts w:ascii="Times New Roman" w:hAnsi="Times New Roman" w:cs="Times New Roman"/>
              </w:rPr>
              <w:t>negative figures for revenue, expenditure or debt variables (budget balance can be negative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59E08B79" w14:textId="77777777" w:rsidR="00EF5E28" w:rsidRPr="00F66630" w:rsidRDefault="00EF5E28" w:rsidP="00D63CBD">
            <w:pPr>
              <w:pStyle w:val="ListParagraph"/>
              <w:numPr>
                <w:ilvl w:val="0"/>
                <w:numId w:val="96"/>
              </w:numPr>
              <w:ind w:left="1440"/>
              <w:rPr>
                <w:rFonts w:ascii="Times New Roman" w:hAnsi="Times New Roman" w:cs="Times New Roman"/>
                <w:i/>
                <w:iCs/>
              </w:rPr>
            </w:pPr>
            <w:r w:rsidRPr="00F66630">
              <w:rPr>
                <w:rFonts w:ascii="Times New Roman" w:hAnsi="Times New Roman" w:cs="Times New Roman"/>
              </w:rPr>
              <w:t xml:space="preserve">contradictory or illogical statements or arguments (for example, the written text contains wrong assertions such as ‘sustainability is strengthened when the fiscal indicators </w:t>
            </w:r>
            <w:r w:rsidRPr="00F66630">
              <w:rPr>
                <w:rFonts w:ascii="Times New Roman" w:hAnsi="Times New Roman" w:cs="Times New Roman"/>
              </w:rPr>
              <w:lastRenderedPageBreak/>
              <w:t>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16537421" w14:textId="77777777" w:rsidR="00EF5E28" w:rsidRPr="00F66630" w:rsidRDefault="00EF5E28" w:rsidP="00D63CBD">
            <w:pPr>
              <w:pStyle w:val="ListParagraph"/>
              <w:numPr>
                <w:ilvl w:val="0"/>
                <w:numId w:val="96"/>
              </w:numPr>
              <w:ind w:left="1440"/>
              <w:rPr>
                <w:rFonts w:ascii="Times New Roman" w:hAnsi="Times New Roman" w:cs="Times New Roman"/>
                <w:i/>
                <w:iCs/>
              </w:rPr>
            </w:pPr>
            <w:r w:rsidRPr="00F66630">
              <w:rPr>
                <w:rFonts w:ascii="Times New Roman" w:hAnsi="Times New Roman" w:cs="Times New Roman"/>
              </w:rPr>
              <w:t>inconsistencies between the written assessment and the data, assumptions and projections presented in the document (for example, the written text refers to figures and projections significantly different from those reported in the tables and charts)</w:t>
            </w:r>
            <w:r w:rsidRPr="00F66630">
              <w:rPr>
                <w:rFonts w:ascii="Times New Roman" w:hAnsi="Times New Roman" w:cs="Times New Roman"/>
                <w:i/>
                <w:iCs/>
              </w:rPr>
              <w:t xml:space="preserve">. </w:t>
            </w:r>
          </w:p>
          <w:p w14:paraId="1A9AE14B" w14:textId="0052BE80" w:rsidR="00EF5E28" w:rsidRPr="00F66630" w:rsidRDefault="00EF5E28" w:rsidP="0072288C">
            <w:pPr>
              <w:ind w:left="670"/>
              <w:contextualSpacing/>
              <w:rPr>
                <w:rFonts w:ascii="Times New Roman" w:hAnsi="Times New Roman" w:cs="Times New Roman"/>
                <w:i/>
                <w:iCs/>
              </w:rPr>
            </w:pPr>
            <w:r w:rsidRPr="00F66630">
              <w:rPr>
                <w:rFonts w:ascii="Times New Roman" w:hAnsi="Times New Roman" w:cs="Times New Roman"/>
                <w:i/>
                <w:iCs/>
              </w:rPr>
              <w:t>For 2020 SDSAR, only the baseline scenario projections’ quality will be assessed and form part of the minimum requirements for achieving the DLI; the risk and shock scenario’s quality will be assessed BUT not form part of the minimum requirements for achieving the DLI.  </w:t>
            </w:r>
          </w:p>
          <w:p w14:paraId="0162F5EB" w14:textId="4C80DB70" w:rsidR="000F448B" w:rsidRPr="00F66630" w:rsidRDefault="000F448B" w:rsidP="0072288C">
            <w:pPr>
              <w:ind w:left="670"/>
              <w:contextualSpacing/>
              <w:rPr>
                <w:rFonts w:ascii="Times New Roman" w:hAnsi="Times New Roman" w:cs="Times New Roman"/>
                <w:i/>
                <w:iCs/>
              </w:rPr>
            </w:pPr>
          </w:p>
          <w:p w14:paraId="066F4034" w14:textId="74FEC1E3" w:rsidR="000F448B" w:rsidRPr="00F66630" w:rsidRDefault="000F448B" w:rsidP="0072288C">
            <w:pPr>
              <w:ind w:left="670"/>
              <w:contextualSpacing/>
              <w:rPr>
                <w:rFonts w:ascii="Times New Roman" w:hAnsi="Times New Roman" w:cs="Times New Roman"/>
                <w:i/>
                <w:iCs/>
              </w:rPr>
            </w:pPr>
          </w:p>
          <w:p w14:paraId="6C6107BD" w14:textId="6172DB9D" w:rsidR="000F448B" w:rsidRPr="00F66630" w:rsidRDefault="000F448B" w:rsidP="0072288C">
            <w:pPr>
              <w:ind w:left="670"/>
              <w:contextualSpacing/>
              <w:rPr>
                <w:rFonts w:ascii="Times New Roman" w:hAnsi="Times New Roman" w:cs="Times New Roman"/>
                <w:i/>
                <w:iCs/>
              </w:rPr>
            </w:pPr>
          </w:p>
          <w:p w14:paraId="0E5FFCEA" w14:textId="238EFF19" w:rsidR="000F448B" w:rsidRPr="00F66630" w:rsidRDefault="000F448B" w:rsidP="0072288C">
            <w:pPr>
              <w:ind w:left="670"/>
              <w:contextualSpacing/>
              <w:rPr>
                <w:rFonts w:ascii="Times New Roman" w:hAnsi="Times New Roman" w:cs="Times New Roman"/>
                <w:i/>
                <w:iCs/>
              </w:rPr>
            </w:pPr>
          </w:p>
          <w:p w14:paraId="3FDD28AA" w14:textId="77777777" w:rsidR="00EE2706" w:rsidRPr="00F66630" w:rsidRDefault="00EE2706" w:rsidP="0072288C">
            <w:pPr>
              <w:ind w:left="670"/>
              <w:contextualSpacing/>
              <w:rPr>
                <w:rFonts w:ascii="Times New Roman" w:hAnsi="Times New Roman" w:cs="Times New Roman"/>
                <w:i/>
                <w:iCs/>
              </w:rPr>
            </w:pPr>
          </w:p>
          <w:p w14:paraId="6DED3130" w14:textId="4F8C2BD5" w:rsidR="00EF5E28" w:rsidRPr="00F66630" w:rsidRDefault="00EF5E28" w:rsidP="0072288C">
            <w:pPr>
              <w:contextualSpacing/>
              <w:rPr>
                <w:rFonts w:ascii="Times New Roman" w:hAnsi="Times New Roman" w:cs="Times New Roman"/>
                <w:b/>
                <w:bCs/>
              </w:rPr>
            </w:pPr>
            <w:r w:rsidRPr="00F66630">
              <w:rPr>
                <w:rFonts w:ascii="Times New Roman" w:hAnsi="Times New Roman" w:cs="Times New Roman"/>
              </w:rPr>
              <w:t xml:space="preserve">For </w:t>
            </w:r>
            <w:r w:rsidR="00EE2706" w:rsidRPr="00F66630">
              <w:rPr>
                <w:rFonts w:ascii="Times New Roman" w:hAnsi="Times New Roman" w:cs="Times New Roman"/>
                <w:b/>
                <w:bCs/>
              </w:rPr>
              <w:t>(</w:t>
            </w:r>
            <w:r w:rsidRPr="00F66630">
              <w:rPr>
                <w:rFonts w:ascii="Times New Roman" w:hAnsi="Times New Roman" w:cs="Times New Roman"/>
                <w:b/>
                <w:bCs/>
                <w:i/>
                <w:iCs/>
              </w:rPr>
              <w:t>2) detailed description of the debt portfolio and borrowing options</w:t>
            </w:r>
            <w:r w:rsidRPr="00F66630">
              <w:rPr>
                <w:rFonts w:ascii="Times New Roman" w:hAnsi="Times New Roman" w:cs="Times New Roman"/>
                <w:b/>
                <w:bCs/>
              </w:rPr>
              <w:t>, the SDSAR 2020 must contain:</w:t>
            </w:r>
          </w:p>
          <w:p w14:paraId="3DE303B7" w14:textId="77777777" w:rsidR="000F448B" w:rsidRPr="00F66630" w:rsidRDefault="000F448B" w:rsidP="0072288C">
            <w:pPr>
              <w:contextualSpacing/>
              <w:rPr>
                <w:rFonts w:ascii="Times New Roman" w:hAnsi="Times New Roman" w:cs="Times New Roman"/>
                <w:b/>
                <w:bCs/>
              </w:rPr>
            </w:pPr>
          </w:p>
          <w:p w14:paraId="3F84F86C" w14:textId="15157096" w:rsidR="00EF5E28" w:rsidRPr="00F66630" w:rsidRDefault="00EF5E28" w:rsidP="00D4525E">
            <w:pPr>
              <w:pStyle w:val="ListParagraph"/>
              <w:numPr>
                <w:ilvl w:val="1"/>
                <w:numId w:val="45"/>
              </w:numPr>
              <w:ind w:left="337"/>
              <w:rPr>
                <w:rFonts w:ascii="Times New Roman" w:hAnsi="Times New Roman" w:cs="Times New Roman"/>
                <w:b/>
                <w:bCs/>
              </w:rPr>
            </w:pPr>
            <w:r w:rsidRPr="00F66630">
              <w:rPr>
                <w:rFonts w:ascii="Times New Roman" w:hAnsi="Times New Roman" w:cs="Times New Roman"/>
                <w:b/>
                <w:bCs/>
              </w:rPr>
              <w:t xml:space="preserve">Presentation of debt and borrowing projections </w:t>
            </w:r>
            <w:r w:rsidRPr="00F66630">
              <w:rPr>
                <w:rFonts w:ascii="Times New Roman" w:hAnsi="Times New Roman" w:cs="Times New Roman"/>
                <w:b/>
                <w:bCs/>
                <w:i/>
                <w:iCs/>
              </w:rPr>
              <w:t>in the baseline scenario</w:t>
            </w:r>
            <w:r w:rsidRPr="00F66630">
              <w:rPr>
                <w:rFonts w:ascii="Times New Roman" w:hAnsi="Times New Roman" w:cs="Times New Roman"/>
                <w:b/>
                <w:bCs/>
              </w:rPr>
              <w:t xml:space="preserve">: either a table OR charts (OR both) with projected figures from 2020 to 2029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 </w:t>
            </w:r>
          </w:p>
          <w:p w14:paraId="6B3B2D0F"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Stock. </w:t>
            </w:r>
          </w:p>
          <w:p w14:paraId="583C92E2"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as % of Revenues. </w:t>
            </w:r>
          </w:p>
          <w:p w14:paraId="26DBBA73"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Services as % of Revenues. </w:t>
            </w:r>
          </w:p>
          <w:p w14:paraId="568C9927"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Borrowings (requirements and/or sources). </w:t>
            </w:r>
          </w:p>
          <w:p w14:paraId="6ADC6307"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23CFF908" w14:textId="32B6A3D2" w:rsidR="00EF5E28" w:rsidRPr="00F66630" w:rsidRDefault="00EF5E28" w:rsidP="00D4525E">
            <w:pPr>
              <w:pStyle w:val="ListParagraph"/>
              <w:numPr>
                <w:ilvl w:val="1"/>
                <w:numId w:val="45"/>
              </w:numPr>
              <w:ind w:left="337"/>
              <w:rPr>
                <w:rFonts w:ascii="Times New Roman" w:hAnsi="Times New Roman" w:cs="Times New Roman"/>
                <w:b/>
                <w:bCs/>
              </w:rPr>
            </w:pPr>
            <w:r w:rsidRPr="00F66630">
              <w:rPr>
                <w:rFonts w:ascii="Times New Roman" w:hAnsi="Times New Roman" w:cs="Times New Roman"/>
                <w:b/>
                <w:bCs/>
              </w:rPr>
              <w:t xml:space="preserve">Description of assumptions underpinning the borrowing options presented: either a table with assumptions OR corresponding explanations in writing (OR both)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 </w:t>
            </w:r>
          </w:p>
          <w:p w14:paraId="7C917A8C" w14:textId="77777777" w:rsidR="00EF5E28" w:rsidRPr="00F66630" w:rsidRDefault="00EF5E28" w:rsidP="00EF5E28">
            <w:pPr>
              <w:numPr>
                <w:ilvl w:val="0"/>
                <w:numId w:val="94"/>
              </w:numPr>
              <w:ind w:left="1110"/>
              <w:contextualSpacing/>
              <w:rPr>
                <w:rFonts w:ascii="Times New Roman" w:hAnsi="Times New Roman" w:cs="Times New Roman"/>
                <w:b/>
                <w:bCs/>
              </w:rPr>
            </w:pPr>
            <w:r w:rsidRPr="00F66630">
              <w:rPr>
                <w:rFonts w:ascii="Times New Roman" w:hAnsi="Times New Roman" w:cs="Times New Roman"/>
              </w:rPr>
              <w:t>Borrowing Sources (for example, external and domestic borrowings).</w:t>
            </w:r>
          </w:p>
          <w:p w14:paraId="74175A79" w14:textId="77777777" w:rsidR="00EF5E28" w:rsidRPr="00F66630" w:rsidRDefault="00EF5E28" w:rsidP="00EF5E28">
            <w:pPr>
              <w:numPr>
                <w:ilvl w:val="0"/>
                <w:numId w:val="94"/>
              </w:numPr>
              <w:ind w:left="1110"/>
              <w:contextualSpacing/>
              <w:rPr>
                <w:rFonts w:ascii="Times New Roman" w:hAnsi="Times New Roman" w:cs="Times New Roman"/>
                <w:b/>
                <w:bCs/>
              </w:rPr>
            </w:pPr>
            <w:r w:rsidRPr="00F66630">
              <w:rPr>
                <w:rFonts w:ascii="Times New Roman" w:hAnsi="Times New Roman" w:cs="Times New Roman"/>
              </w:rPr>
              <w:t>Financing Terms (for example, maturity, interest rates, currency).</w:t>
            </w:r>
          </w:p>
          <w:p w14:paraId="3EF6B97C"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1A36A8AF" w14:textId="728B096D" w:rsidR="00EF5E28" w:rsidRPr="00F66630" w:rsidRDefault="00EF5E28" w:rsidP="00D4525E">
            <w:pPr>
              <w:pStyle w:val="ListParagraph"/>
              <w:numPr>
                <w:ilvl w:val="1"/>
                <w:numId w:val="45"/>
              </w:numPr>
              <w:ind w:left="337"/>
              <w:rPr>
                <w:rFonts w:ascii="Times New Roman" w:hAnsi="Times New Roman" w:cs="Times New Roman"/>
                <w:b/>
                <w:bCs/>
                <w:i/>
                <w:iCs/>
              </w:rPr>
            </w:pPr>
            <w:r w:rsidRPr="00F66630">
              <w:rPr>
                <w:rFonts w:ascii="Times New Roman" w:hAnsi="Times New Roman" w:cs="Times New Roman"/>
                <w:b/>
                <w:bCs/>
              </w:rPr>
              <w:t xml:space="preserve">The presentation and analysis in the entire forecast period need to </w:t>
            </w:r>
            <w:r w:rsidRPr="00F66630">
              <w:rPr>
                <w:rFonts w:ascii="Times New Roman" w:hAnsi="Times New Roman" w:cs="Times New Roman"/>
                <w:b/>
                <w:bCs/>
              </w:rPr>
              <w:lastRenderedPageBreak/>
              <w:t>be of adequate quality, and</w:t>
            </w:r>
            <w:r w:rsidR="00942753" w:rsidRPr="00F66630">
              <w:rPr>
                <w:rFonts w:ascii="Times New Roman" w:hAnsi="Times New Roman" w:cs="Times New Roman"/>
                <w:b/>
                <w:bCs/>
              </w:rPr>
              <w:t xml:space="preserve"> do</w:t>
            </w:r>
            <w:r w:rsidRPr="00F66630">
              <w:rPr>
                <w:rFonts w:ascii="Times New Roman" w:hAnsi="Times New Roman" w:cs="Times New Roman"/>
                <w:b/>
                <w:bCs/>
              </w:rPr>
              <w:t xml:space="preserve"> not contain</w:t>
            </w:r>
            <w:r w:rsidRPr="00F66630">
              <w:rPr>
                <w:rFonts w:ascii="Times New Roman" w:hAnsi="Times New Roman" w:cs="Times New Roman"/>
              </w:rPr>
              <w:t xml:space="preserve">: </w:t>
            </w:r>
          </w:p>
          <w:p w14:paraId="3DF204DC" w14:textId="77777777" w:rsidR="00EF5E28" w:rsidRPr="00F66630" w:rsidRDefault="00EF5E28" w:rsidP="00D63CBD">
            <w:pPr>
              <w:pStyle w:val="ListParagraph"/>
              <w:numPr>
                <w:ilvl w:val="0"/>
                <w:numId w:val="98"/>
              </w:numPr>
              <w:rPr>
                <w:rFonts w:ascii="Times New Roman" w:hAnsi="Times New Roman" w:cs="Times New Roman"/>
              </w:rPr>
            </w:pPr>
            <w:r w:rsidRPr="00F66630">
              <w:rPr>
                <w:rFonts w:ascii="Times New Roman" w:hAnsi="Times New Roman" w:cs="Times New Roman"/>
              </w:rPr>
              <w:t xml:space="preserve">negative figures for debt and borrowing </w:t>
            </w:r>
            <w:proofErr w:type="gramStart"/>
            <w:r w:rsidRPr="00F66630">
              <w:rPr>
                <w:rFonts w:ascii="Times New Roman" w:hAnsi="Times New Roman" w:cs="Times New Roman"/>
              </w:rPr>
              <w:t>projections;</w:t>
            </w:r>
            <w:proofErr w:type="gramEnd"/>
            <w:r w:rsidRPr="00F66630">
              <w:rPr>
                <w:rFonts w:ascii="Times New Roman" w:hAnsi="Times New Roman" w:cs="Times New Roman"/>
              </w:rPr>
              <w:t xml:space="preserve"> </w:t>
            </w:r>
          </w:p>
          <w:p w14:paraId="08B14A1C" w14:textId="77777777" w:rsidR="00EF5E28" w:rsidRPr="00F66630" w:rsidRDefault="00EF5E28" w:rsidP="00D63CBD">
            <w:pPr>
              <w:pStyle w:val="ListParagraph"/>
              <w:numPr>
                <w:ilvl w:val="0"/>
                <w:numId w:val="98"/>
              </w:numPr>
              <w:rPr>
                <w:rFonts w:ascii="Times New Roman" w:hAnsi="Times New Roman" w:cs="Times New Roman"/>
                <w:b/>
                <w:bCs/>
                <w:i/>
                <w:iCs/>
              </w:rPr>
            </w:pPr>
            <w:r w:rsidRPr="00F66630">
              <w:rPr>
                <w:rFonts w:ascii="Times New Roman" w:hAnsi="Times New Roman" w:cs="Times New Roman"/>
              </w:rPr>
              <w:t>contradictory or illogical statements or arguments (for example, the written text contains wrong assertions such as ‘sustainability is strengthened when the debt indicators 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1474D404" w14:textId="77777777" w:rsidR="00EF5E28" w:rsidRPr="00F66630" w:rsidRDefault="00EF5E28" w:rsidP="00D63CBD">
            <w:pPr>
              <w:pStyle w:val="ListParagraph"/>
              <w:numPr>
                <w:ilvl w:val="0"/>
                <w:numId w:val="98"/>
              </w:numPr>
              <w:rPr>
                <w:rFonts w:ascii="Times New Roman" w:hAnsi="Times New Roman" w:cs="Times New Roman"/>
                <w:b/>
                <w:bCs/>
                <w:i/>
                <w:iCs/>
              </w:rPr>
            </w:pPr>
            <w:r w:rsidRPr="00F66630">
              <w:rPr>
                <w:rFonts w:ascii="Times New Roman" w:hAnsi="Times New Roman" w:cs="Times New Roman"/>
              </w:rPr>
              <w:t>inconsistencies between the written assessment and the data, assumptions and projections presented in the document (for example, the written text refers to figures and projections significantly different from those reported in the tables and charts)</w:t>
            </w:r>
            <w:r w:rsidRPr="00F66630">
              <w:rPr>
                <w:rFonts w:ascii="Times New Roman" w:hAnsi="Times New Roman" w:cs="Times New Roman"/>
                <w:i/>
                <w:iCs/>
              </w:rPr>
              <w:t>. For 2020 SDSAR, only the baseline scenario projections quality will be assessed and form part of the minimum requirements for achieving the DLI; the risk and shock scenario’s quality will be assessed BUT not form part of the minimum requirements for achieving the DLI.  </w:t>
            </w:r>
          </w:p>
          <w:p w14:paraId="60F647A3" w14:textId="0A4873C9" w:rsidR="00EF5E28" w:rsidRPr="00F66630" w:rsidRDefault="00EF5E28" w:rsidP="009B0D0E">
            <w:pPr>
              <w:rPr>
                <w:rFonts w:ascii="Times New Roman" w:hAnsi="Times New Roman" w:cs="Times New Roman"/>
                <w:b/>
                <w:bCs/>
              </w:rPr>
            </w:pPr>
          </w:p>
          <w:p w14:paraId="188EA017" w14:textId="32A0636E" w:rsidR="000F448B" w:rsidRPr="00F66630" w:rsidRDefault="000F448B" w:rsidP="009B0D0E">
            <w:pPr>
              <w:rPr>
                <w:rFonts w:ascii="Times New Roman" w:hAnsi="Times New Roman" w:cs="Times New Roman"/>
                <w:b/>
                <w:bCs/>
              </w:rPr>
            </w:pPr>
          </w:p>
          <w:p w14:paraId="4E133AF7" w14:textId="52CA04EC" w:rsidR="000F448B" w:rsidRPr="00F66630" w:rsidRDefault="000F448B" w:rsidP="009B0D0E">
            <w:pPr>
              <w:rPr>
                <w:rFonts w:ascii="Times New Roman" w:hAnsi="Times New Roman" w:cs="Times New Roman"/>
                <w:b/>
                <w:bCs/>
              </w:rPr>
            </w:pPr>
          </w:p>
          <w:p w14:paraId="2B2BC0DB" w14:textId="48925358" w:rsidR="000F448B" w:rsidRPr="00F66630" w:rsidRDefault="000F448B" w:rsidP="009B0D0E">
            <w:pPr>
              <w:rPr>
                <w:rFonts w:ascii="Times New Roman" w:hAnsi="Times New Roman" w:cs="Times New Roman"/>
                <w:b/>
                <w:bCs/>
              </w:rPr>
            </w:pPr>
          </w:p>
          <w:p w14:paraId="3094433E" w14:textId="42E4670F" w:rsidR="000F448B" w:rsidRPr="00F66630" w:rsidRDefault="000F448B" w:rsidP="009B0D0E">
            <w:pPr>
              <w:rPr>
                <w:rFonts w:ascii="Times New Roman" w:hAnsi="Times New Roman" w:cs="Times New Roman"/>
                <w:b/>
                <w:bCs/>
              </w:rPr>
            </w:pPr>
          </w:p>
          <w:p w14:paraId="4F527381" w14:textId="2925F986" w:rsidR="000F448B" w:rsidRPr="00F66630" w:rsidRDefault="000F448B" w:rsidP="009B0D0E">
            <w:pPr>
              <w:rPr>
                <w:rFonts w:ascii="Times New Roman" w:hAnsi="Times New Roman" w:cs="Times New Roman"/>
                <w:b/>
                <w:bCs/>
              </w:rPr>
            </w:pPr>
          </w:p>
          <w:p w14:paraId="30E26578" w14:textId="6C756F2B" w:rsidR="000F448B" w:rsidRPr="00F66630" w:rsidRDefault="000F448B" w:rsidP="009B0D0E">
            <w:pPr>
              <w:rPr>
                <w:rFonts w:ascii="Times New Roman" w:hAnsi="Times New Roman" w:cs="Times New Roman"/>
                <w:b/>
                <w:bCs/>
              </w:rPr>
            </w:pPr>
          </w:p>
          <w:p w14:paraId="7036AD38" w14:textId="77777777" w:rsidR="00234B14" w:rsidRPr="00F66630" w:rsidRDefault="00234B14" w:rsidP="009B0D0E">
            <w:pPr>
              <w:rPr>
                <w:rFonts w:ascii="Times New Roman" w:hAnsi="Times New Roman" w:cs="Times New Roman"/>
                <w:b/>
                <w:bCs/>
              </w:rPr>
            </w:pPr>
          </w:p>
          <w:p w14:paraId="676FA274" w14:textId="2B0E1CDE" w:rsidR="000F448B" w:rsidRPr="00F66630" w:rsidRDefault="000F448B" w:rsidP="009B0D0E">
            <w:pPr>
              <w:rPr>
                <w:rFonts w:ascii="Times New Roman" w:hAnsi="Times New Roman" w:cs="Times New Roman"/>
                <w:b/>
                <w:bCs/>
              </w:rPr>
            </w:pPr>
          </w:p>
          <w:p w14:paraId="57764936" w14:textId="6FE39147" w:rsidR="003D03C5" w:rsidRPr="00F66630" w:rsidRDefault="003D03C5" w:rsidP="009B0D0E">
            <w:pPr>
              <w:rPr>
                <w:rFonts w:ascii="Times New Roman" w:hAnsi="Times New Roman" w:cs="Times New Roman"/>
                <w:b/>
                <w:bCs/>
              </w:rPr>
            </w:pPr>
          </w:p>
          <w:p w14:paraId="084949E1" w14:textId="7EA40497" w:rsidR="003D03C5" w:rsidRPr="00F66630" w:rsidRDefault="003D03C5" w:rsidP="009B0D0E">
            <w:pPr>
              <w:rPr>
                <w:rFonts w:ascii="Times New Roman" w:hAnsi="Times New Roman" w:cs="Times New Roman"/>
                <w:b/>
                <w:bCs/>
              </w:rPr>
            </w:pPr>
          </w:p>
          <w:p w14:paraId="75511C79" w14:textId="43BE4578" w:rsidR="003D03C5" w:rsidRPr="00F66630" w:rsidRDefault="003D03C5" w:rsidP="009B0D0E">
            <w:pPr>
              <w:rPr>
                <w:rFonts w:ascii="Times New Roman" w:hAnsi="Times New Roman" w:cs="Times New Roman"/>
                <w:b/>
                <w:bCs/>
              </w:rPr>
            </w:pPr>
          </w:p>
          <w:p w14:paraId="757BDBA4" w14:textId="06D793D6" w:rsidR="003D03C5" w:rsidRPr="00F66630" w:rsidRDefault="003D03C5" w:rsidP="009B0D0E">
            <w:pPr>
              <w:rPr>
                <w:rFonts w:ascii="Times New Roman" w:hAnsi="Times New Roman" w:cs="Times New Roman"/>
                <w:b/>
                <w:bCs/>
              </w:rPr>
            </w:pPr>
          </w:p>
          <w:p w14:paraId="174F1A50" w14:textId="50B130EC" w:rsidR="00FC5265" w:rsidRPr="00F66630" w:rsidRDefault="00FC5265" w:rsidP="009B0D0E">
            <w:pPr>
              <w:rPr>
                <w:rFonts w:ascii="Times New Roman" w:hAnsi="Times New Roman" w:cs="Times New Roman"/>
                <w:b/>
                <w:bCs/>
              </w:rPr>
            </w:pPr>
          </w:p>
          <w:p w14:paraId="38AEC0FA" w14:textId="232DF83C" w:rsidR="00FC5265" w:rsidRPr="00F66630" w:rsidRDefault="00FC5265" w:rsidP="009B0D0E">
            <w:pPr>
              <w:rPr>
                <w:rFonts w:ascii="Times New Roman" w:hAnsi="Times New Roman" w:cs="Times New Roman"/>
                <w:b/>
                <w:bCs/>
              </w:rPr>
            </w:pPr>
          </w:p>
          <w:p w14:paraId="3598DF3A" w14:textId="44B88E36" w:rsidR="00FC5265" w:rsidRPr="00F66630" w:rsidRDefault="00FC5265" w:rsidP="009B0D0E">
            <w:pPr>
              <w:rPr>
                <w:rFonts w:ascii="Times New Roman" w:hAnsi="Times New Roman" w:cs="Times New Roman"/>
                <w:b/>
                <w:bCs/>
              </w:rPr>
            </w:pPr>
          </w:p>
          <w:p w14:paraId="773474CC" w14:textId="3271A561" w:rsidR="00FC5265" w:rsidRPr="00F66630" w:rsidRDefault="00FC5265" w:rsidP="009B0D0E">
            <w:pPr>
              <w:rPr>
                <w:rFonts w:ascii="Times New Roman" w:hAnsi="Times New Roman" w:cs="Times New Roman"/>
                <w:b/>
                <w:bCs/>
              </w:rPr>
            </w:pPr>
          </w:p>
          <w:p w14:paraId="4CE24A09" w14:textId="203F2645" w:rsidR="00FC5265" w:rsidRPr="00F66630" w:rsidRDefault="00FC5265" w:rsidP="009B0D0E">
            <w:pPr>
              <w:rPr>
                <w:rFonts w:ascii="Times New Roman" w:hAnsi="Times New Roman" w:cs="Times New Roman"/>
                <w:b/>
                <w:bCs/>
              </w:rPr>
            </w:pPr>
          </w:p>
          <w:p w14:paraId="31ABE73B" w14:textId="2AD284D2" w:rsidR="00FC5265" w:rsidRPr="00F66630" w:rsidRDefault="00FC5265" w:rsidP="009B0D0E">
            <w:pPr>
              <w:rPr>
                <w:rFonts w:ascii="Times New Roman" w:hAnsi="Times New Roman" w:cs="Times New Roman"/>
                <w:b/>
                <w:bCs/>
              </w:rPr>
            </w:pPr>
          </w:p>
          <w:p w14:paraId="693E4394" w14:textId="14B3760F" w:rsidR="00FC5265" w:rsidRPr="00F66630" w:rsidRDefault="00FC5265" w:rsidP="009B0D0E">
            <w:pPr>
              <w:rPr>
                <w:rFonts w:ascii="Times New Roman" w:hAnsi="Times New Roman" w:cs="Times New Roman"/>
                <w:b/>
                <w:bCs/>
              </w:rPr>
            </w:pPr>
          </w:p>
          <w:p w14:paraId="43C4E980" w14:textId="743EBB59" w:rsidR="00FC5265" w:rsidRPr="00F66630" w:rsidRDefault="00FC5265" w:rsidP="009B0D0E">
            <w:pPr>
              <w:rPr>
                <w:rFonts w:ascii="Times New Roman" w:hAnsi="Times New Roman" w:cs="Times New Roman"/>
                <w:b/>
                <w:bCs/>
              </w:rPr>
            </w:pPr>
          </w:p>
          <w:p w14:paraId="25A63C18" w14:textId="755C3ACF" w:rsidR="00FC5265" w:rsidRPr="00F66630" w:rsidRDefault="00FC5265" w:rsidP="009B0D0E">
            <w:pPr>
              <w:rPr>
                <w:rFonts w:ascii="Times New Roman" w:hAnsi="Times New Roman" w:cs="Times New Roman"/>
                <w:b/>
                <w:bCs/>
              </w:rPr>
            </w:pPr>
          </w:p>
          <w:p w14:paraId="6E490C16" w14:textId="03618F9F" w:rsidR="00FC5265" w:rsidRPr="00F66630" w:rsidRDefault="00FC5265" w:rsidP="009B0D0E">
            <w:pPr>
              <w:rPr>
                <w:rFonts w:ascii="Times New Roman" w:hAnsi="Times New Roman" w:cs="Times New Roman"/>
                <w:b/>
                <w:bCs/>
              </w:rPr>
            </w:pPr>
          </w:p>
          <w:p w14:paraId="50CF8254" w14:textId="43C7B9DD" w:rsidR="00FC5265" w:rsidRPr="00F66630" w:rsidRDefault="00FC5265" w:rsidP="009B0D0E">
            <w:pPr>
              <w:rPr>
                <w:rFonts w:ascii="Times New Roman" w:hAnsi="Times New Roman" w:cs="Times New Roman"/>
                <w:b/>
                <w:bCs/>
              </w:rPr>
            </w:pPr>
          </w:p>
          <w:p w14:paraId="60323BF5" w14:textId="02331CB2" w:rsidR="00FC5265" w:rsidRPr="00F66630" w:rsidRDefault="00FC5265" w:rsidP="009B0D0E">
            <w:pPr>
              <w:rPr>
                <w:rFonts w:ascii="Times New Roman" w:hAnsi="Times New Roman" w:cs="Times New Roman"/>
                <w:b/>
                <w:bCs/>
              </w:rPr>
            </w:pPr>
          </w:p>
          <w:p w14:paraId="7DE08159" w14:textId="28CF2561" w:rsidR="00FC5265" w:rsidRPr="00F66630" w:rsidRDefault="00FC5265" w:rsidP="009B0D0E">
            <w:pPr>
              <w:rPr>
                <w:rFonts w:ascii="Times New Roman" w:hAnsi="Times New Roman" w:cs="Times New Roman"/>
                <w:b/>
                <w:bCs/>
              </w:rPr>
            </w:pPr>
          </w:p>
          <w:p w14:paraId="2DD9AFF7" w14:textId="13405347" w:rsidR="00FC5265" w:rsidRPr="00F66630" w:rsidRDefault="00FC5265" w:rsidP="009B0D0E">
            <w:pPr>
              <w:rPr>
                <w:rFonts w:ascii="Times New Roman" w:hAnsi="Times New Roman" w:cs="Times New Roman"/>
                <w:b/>
                <w:bCs/>
              </w:rPr>
            </w:pPr>
          </w:p>
          <w:p w14:paraId="25C77547" w14:textId="6FEAFE41" w:rsidR="00FC5265" w:rsidRPr="00F66630" w:rsidRDefault="00FC5265" w:rsidP="009B0D0E">
            <w:pPr>
              <w:rPr>
                <w:rFonts w:ascii="Times New Roman" w:hAnsi="Times New Roman" w:cs="Times New Roman"/>
                <w:b/>
                <w:bCs/>
              </w:rPr>
            </w:pPr>
          </w:p>
          <w:p w14:paraId="2528FF2C" w14:textId="77777777" w:rsidR="00FC5265" w:rsidRPr="00F66630" w:rsidRDefault="00FC5265" w:rsidP="009B0D0E">
            <w:pPr>
              <w:rPr>
                <w:rFonts w:ascii="Times New Roman" w:hAnsi="Times New Roman" w:cs="Times New Roman"/>
                <w:b/>
                <w:bCs/>
              </w:rPr>
            </w:pPr>
          </w:p>
          <w:p w14:paraId="1D71DCEC" w14:textId="6C95C340" w:rsidR="003D03C5" w:rsidRPr="00F66630" w:rsidRDefault="003D03C5" w:rsidP="009B0D0E">
            <w:pPr>
              <w:rPr>
                <w:rFonts w:ascii="Times New Roman" w:hAnsi="Times New Roman" w:cs="Times New Roman"/>
                <w:b/>
                <w:bCs/>
              </w:rPr>
            </w:pPr>
          </w:p>
          <w:p w14:paraId="487071C0" w14:textId="77777777" w:rsidR="003E3425" w:rsidRPr="00F66630" w:rsidRDefault="003E3425" w:rsidP="009B0D0E">
            <w:pPr>
              <w:rPr>
                <w:rFonts w:ascii="Times New Roman" w:hAnsi="Times New Roman" w:cs="Times New Roman"/>
                <w:b/>
                <w:bCs/>
              </w:rPr>
            </w:pPr>
          </w:p>
          <w:p w14:paraId="1954F54F" w14:textId="34351650" w:rsidR="00EF5E28" w:rsidRPr="00F66630" w:rsidRDefault="00EF5E28" w:rsidP="0072288C">
            <w:pPr>
              <w:contextualSpacing/>
              <w:rPr>
                <w:rFonts w:ascii="Times New Roman" w:hAnsi="Times New Roman" w:cs="Times New Roman"/>
                <w:b/>
                <w:bCs/>
              </w:rPr>
            </w:pPr>
            <w:r w:rsidRPr="00F66630">
              <w:rPr>
                <w:rFonts w:ascii="Times New Roman" w:hAnsi="Times New Roman" w:cs="Times New Roman"/>
                <w:b/>
                <w:bCs/>
              </w:rPr>
              <w:t xml:space="preserve">For </w:t>
            </w:r>
            <w:r w:rsidR="003D03C5" w:rsidRPr="00F66630">
              <w:rPr>
                <w:rFonts w:ascii="Times New Roman" w:hAnsi="Times New Roman" w:cs="Times New Roman"/>
                <w:b/>
                <w:bCs/>
              </w:rPr>
              <w:t>(</w:t>
            </w:r>
            <w:r w:rsidRPr="00F66630">
              <w:rPr>
                <w:rFonts w:ascii="Times New Roman" w:hAnsi="Times New Roman" w:cs="Times New Roman"/>
                <w:b/>
                <w:bCs/>
                <w:i/>
                <w:iCs/>
              </w:rPr>
              <w:t>3) analysis of the debt and fiscal annual figures in the preceding calendar year</w:t>
            </w:r>
            <w:r w:rsidRPr="00F66630">
              <w:rPr>
                <w:rFonts w:ascii="Times New Roman" w:hAnsi="Times New Roman" w:cs="Times New Roman"/>
                <w:b/>
                <w:bCs/>
              </w:rPr>
              <w:t>, the SDSAR 2020 must contain:</w:t>
            </w:r>
          </w:p>
          <w:p w14:paraId="4E106217" w14:textId="77777777" w:rsidR="00234B14" w:rsidRPr="00F66630" w:rsidRDefault="00234B14" w:rsidP="0072288C">
            <w:pPr>
              <w:contextualSpacing/>
              <w:rPr>
                <w:rFonts w:ascii="Times New Roman" w:hAnsi="Times New Roman" w:cs="Times New Roman"/>
                <w:b/>
                <w:bCs/>
              </w:rPr>
            </w:pPr>
          </w:p>
          <w:p w14:paraId="6B538C99" w14:textId="17FB910F" w:rsidR="00EF5E28" w:rsidRPr="00F66630" w:rsidRDefault="00EF5E28" w:rsidP="00D4525E">
            <w:pPr>
              <w:pStyle w:val="ListParagraph"/>
              <w:numPr>
                <w:ilvl w:val="1"/>
                <w:numId w:val="70"/>
              </w:numPr>
              <w:ind w:left="427"/>
              <w:rPr>
                <w:rFonts w:ascii="Times New Roman" w:hAnsi="Times New Roman" w:cs="Times New Roman"/>
              </w:rPr>
            </w:pPr>
            <w:r w:rsidRPr="00F66630">
              <w:rPr>
                <w:rFonts w:ascii="Times New Roman" w:hAnsi="Times New Roman" w:cs="Times New Roman"/>
                <w:b/>
                <w:bCs/>
              </w:rPr>
              <w:t xml:space="preserve">Presentation of revenue, expenditure, budget balance, and debt information, at least for 2019: either a table OR charts (OR both table and chart(s)) with historical figures for at least 2019 (but can extend to years preceding 2019)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for the following variables:</w:t>
            </w:r>
          </w:p>
          <w:p w14:paraId="7F45AC8F" w14:textId="77777777" w:rsidR="00EF5E28" w:rsidRPr="00F66630" w:rsidRDefault="00EF5E28" w:rsidP="00D4525E">
            <w:pPr>
              <w:numPr>
                <w:ilvl w:val="0"/>
                <w:numId w:val="94"/>
              </w:numPr>
              <w:ind w:left="877"/>
              <w:contextualSpacing/>
              <w:rPr>
                <w:rFonts w:ascii="Times New Roman" w:hAnsi="Times New Roman" w:cs="Times New Roman"/>
              </w:rPr>
            </w:pPr>
            <w:r w:rsidRPr="00F66630">
              <w:rPr>
                <w:rFonts w:ascii="Times New Roman" w:hAnsi="Times New Roman" w:cs="Times New Roman"/>
              </w:rPr>
              <w:t xml:space="preserve">Revenues: Total Revenues, FAAC, Derivation (if applicable), IGR, Capital Receipts, and Grants. </w:t>
            </w:r>
          </w:p>
          <w:p w14:paraId="2EF9E834" w14:textId="77777777" w:rsidR="00EF5E28" w:rsidRPr="00F66630" w:rsidRDefault="00EF5E28" w:rsidP="00D4525E">
            <w:pPr>
              <w:numPr>
                <w:ilvl w:val="0"/>
                <w:numId w:val="94"/>
              </w:numPr>
              <w:ind w:left="877"/>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444DEF47" w14:textId="77777777" w:rsidR="00EF5E28" w:rsidRPr="00F66630" w:rsidRDefault="00EF5E28" w:rsidP="00D4525E">
            <w:pPr>
              <w:numPr>
                <w:ilvl w:val="0"/>
                <w:numId w:val="94"/>
              </w:numPr>
              <w:ind w:left="877"/>
              <w:contextualSpacing/>
              <w:rPr>
                <w:rFonts w:ascii="Times New Roman" w:hAnsi="Times New Roman" w:cs="Times New Roman"/>
              </w:rPr>
            </w:pPr>
            <w:r w:rsidRPr="00F66630">
              <w:rPr>
                <w:rFonts w:ascii="Times New Roman" w:hAnsi="Times New Roman" w:cs="Times New Roman"/>
              </w:rPr>
              <w:t xml:space="preserve">Budget Balance. </w:t>
            </w:r>
          </w:p>
          <w:p w14:paraId="7CE14F34" w14:textId="77777777" w:rsidR="00EF5E28" w:rsidRPr="00F66630" w:rsidRDefault="00EF5E28" w:rsidP="00D4525E">
            <w:pPr>
              <w:numPr>
                <w:ilvl w:val="0"/>
                <w:numId w:val="94"/>
              </w:numPr>
              <w:ind w:left="877"/>
              <w:contextualSpacing/>
              <w:rPr>
                <w:rFonts w:ascii="Times New Roman" w:hAnsi="Times New Roman" w:cs="Times New Roman"/>
              </w:rPr>
            </w:pPr>
            <w:r w:rsidRPr="00F66630">
              <w:rPr>
                <w:rFonts w:ascii="Times New Roman" w:hAnsi="Times New Roman" w:cs="Times New Roman"/>
              </w:rPr>
              <w:t xml:space="preserve">Debt Stock. </w:t>
            </w:r>
          </w:p>
          <w:p w14:paraId="6AA88AFA" w14:textId="77777777" w:rsidR="00EF5E28" w:rsidRPr="00F66630" w:rsidRDefault="00EF5E28" w:rsidP="00D4525E">
            <w:pPr>
              <w:numPr>
                <w:ilvl w:val="0"/>
                <w:numId w:val="94"/>
              </w:numPr>
              <w:ind w:left="877"/>
              <w:contextualSpacing/>
              <w:rPr>
                <w:rFonts w:ascii="Times New Roman" w:hAnsi="Times New Roman" w:cs="Times New Roman"/>
              </w:rPr>
            </w:pPr>
            <w:r w:rsidRPr="00F66630">
              <w:rPr>
                <w:rFonts w:ascii="Times New Roman" w:hAnsi="Times New Roman" w:cs="Times New Roman"/>
              </w:rPr>
              <w:t xml:space="preserve">Debt as % of Revenues. </w:t>
            </w:r>
          </w:p>
          <w:p w14:paraId="5EE89A38" w14:textId="77777777" w:rsidR="00EF5E28" w:rsidRPr="00F66630" w:rsidRDefault="00EF5E28" w:rsidP="00D4525E">
            <w:pPr>
              <w:ind w:left="877"/>
              <w:contextualSpacing/>
              <w:rPr>
                <w:rFonts w:ascii="Times New Roman" w:hAnsi="Times New Roman" w:cs="Times New Roman"/>
                <w:b/>
                <w:bCs/>
              </w:rPr>
            </w:pPr>
            <w:r w:rsidRPr="00F66630">
              <w:rPr>
                <w:rFonts w:ascii="Times New Roman" w:hAnsi="Times New Roman" w:cs="Times New Roman"/>
                <w:b/>
                <w:bCs/>
              </w:rPr>
              <w:t>AND</w:t>
            </w:r>
          </w:p>
          <w:p w14:paraId="1C714AC9" w14:textId="1FDA9ACF" w:rsidR="00EF5E28" w:rsidRPr="00F66630" w:rsidRDefault="00EF5E28" w:rsidP="00D4525E">
            <w:pPr>
              <w:pStyle w:val="ListParagraph"/>
              <w:numPr>
                <w:ilvl w:val="1"/>
                <w:numId w:val="70"/>
              </w:numPr>
              <w:ind w:left="427"/>
              <w:rPr>
                <w:rFonts w:ascii="Times New Roman" w:hAnsi="Times New Roman" w:cs="Times New Roman"/>
              </w:rPr>
            </w:pPr>
            <w:r w:rsidRPr="00F66630">
              <w:rPr>
                <w:rFonts w:ascii="Times New Roman" w:hAnsi="Times New Roman" w:cs="Times New Roman"/>
                <w:b/>
                <w:bCs/>
              </w:rPr>
              <w:t>A summary analysis of the information presented on revenue, expenditure, budget balance, and debt in 2019: analysis (in writing) of fiscal and debt situation in 2019</w:t>
            </w:r>
            <w:r w:rsidRPr="00F66630">
              <w:rPr>
                <w:rFonts w:ascii="Times New Roman" w:hAnsi="Times New Roman" w:cs="Times New Roman"/>
              </w:rPr>
              <w:t xml:space="preserve"> (for example, a commentary on budget and debt outcomes and economic trends, what may have affected them).</w:t>
            </w:r>
          </w:p>
          <w:p w14:paraId="414EBED6" w14:textId="18C3E000" w:rsidR="00EF5E28" w:rsidRPr="00F66630" w:rsidRDefault="000F448B" w:rsidP="000F448B">
            <w:pPr>
              <w:ind w:left="1110"/>
              <w:contextualSpacing/>
              <w:rPr>
                <w:rFonts w:ascii="Times New Roman" w:hAnsi="Times New Roman" w:cs="Times New Roman"/>
                <w:b/>
                <w:bCs/>
              </w:rPr>
            </w:pPr>
            <w:r w:rsidRPr="00F66630">
              <w:rPr>
                <w:rFonts w:ascii="Times New Roman" w:hAnsi="Times New Roman" w:cs="Times New Roman"/>
                <w:b/>
                <w:bCs/>
              </w:rPr>
              <w:t xml:space="preserve"> </w:t>
            </w:r>
            <w:r w:rsidR="00EF5E28" w:rsidRPr="00F66630">
              <w:rPr>
                <w:rFonts w:ascii="Times New Roman" w:hAnsi="Times New Roman" w:cs="Times New Roman"/>
                <w:b/>
                <w:bCs/>
              </w:rPr>
              <w:t>AND</w:t>
            </w:r>
          </w:p>
          <w:p w14:paraId="04FBEBF7" w14:textId="3845448F" w:rsidR="00EF5E28" w:rsidRPr="00F66630" w:rsidRDefault="00EF5E28" w:rsidP="00D4525E">
            <w:pPr>
              <w:pStyle w:val="ListParagraph"/>
              <w:numPr>
                <w:ilvl w:val="1"/>
                <w:numId w:val="70"/>
              </w:numPr>
              <w:ind w:left="337"/>
              <w:rPr>
                <w:rFonts w:ascii="Times New Roman" w:hAnsi="Times New Roman" w:cs="Times New Roman"/>
              </w:rPr>
            </w:pPr>
            <w:r w:rsidRPr="00F66630">
              <w:rPr>
                <w:rFonts w:ascii="Times New Roman" w:hAnsi="Times New Roman" w:cs="Times New Roman"/>
                <w:b/>
                <w:bCs/>
              </w:rPr>
              <w:t>The presentation and analysis in the entire historical period need to be of adequate quality</w:t>
            </w:r>
            <w:r w:rsidRPr="00F66630">
              <w:rPr>
                <w:rFonts w:ascii="Times New Roman" w:hAnsi="Times New Roman" w:cs="Times New Roman"/>
              </w:rPr>
              <w:t xml:space="preserve">, </w:t>
            </w:r>
            <w:r w:rsidRPr="00F66630">
              <w:rPr>
                <w:rFonts w:ascii="Times New Roman" w:hAnsi="Times New Roman" w:cs="Times New Roman"/>
                <w:b/>
                <w:bCs/>
              </w:rPr>
              <w:t>and</w:t>
            </w:r>
            <w:r w:rsidR="00F37B2E" w:rsidRPr="00F66630">
              <w:rPr>
                <w:rFonts w:ascii="Times New Roman" w:hAnsi="Times New Roman" w:cs="Times New Roman"/>
                <w:b/>
                <w:bCs/>
              </w:rPr>
              <w:t xml:space="preserve"> do</w:t>
            </w:r>
            <w:r w:rsidRPr="00F66630">
              <w:rPr>
                <w:rFonts w:ascii="Times New Roman" w:hAnsi="Times New Roman" w:cs="Times New Roman"/>
                <w:b/>
                <w:bCs/>
              </w:rPr>
              <w:t xml:space="preserve"> not contain:</w:t>
            </w:r>
            <w:r w:rsidRPr="00F66630">
              <w:rPr>
                <w:rFonts w:ascii="Times New Roman" w:hAnsi="Times New Roman" w:cs="Times New Roman"/>
              </w:rPr>
              <w:t xml:space="preserve"> </w:t>
            </w:r>
          </w:p>
          <w:p w14:paraId="4F981C80" w14:textId="77777777" w:rsidR="00EF5E28" w:rsidRPr="00F66630" w:rsidRDefault="00EF5E28" w:rsidP="00D4525E">
            <w:pPr>
              <w:pStyle w:val="ListParagraph"/>
              <w:numPr>
                <w:ilvl w:val="0"/>
                <w:numId w:val="100"/>
              </w:numPr>
              <w:ind w:left="1147"/>
              <w:rPr>
                <w:rFonts w:ascii="Times New Roman" w:hAnsi="Times New Roman" w:cs="Times New Roman"/>
              </w:rPr>
            </w:pPr>
            <w:r w:rsidRPr="00F66630">
              <w:rPr>
                <w:rFonts w:ascii="Times New Roman" w:hAnsi="Times New Roman" w:cs="Times New Roman"/>
              </w:rPr>
              <w:lastRenderedPageBreak/>
              <w:t xml:space="preserve">negative values for revenue, expenditure, debt service or debt stock </w:t>
            </w:r>
            <w:proofErr w:type="gramStart"/>
            <w:r w:rsidRPr="00F66630">
              <w:rPr>
                <w:rFonts w:ascii="Times New Roman" w:hAnsi="Times New Roman" w:cs="Times New Roman"/>
              </w:rPr>
              <w:t>figures;</w:t>
            </w:r>
            <w:proofErr w:type="gramEnd"/>
            <w:r w:rsidRPr="00F66630">
              <w:rPr>
                <w:rFonts w:ascii="Times New Roman" w:hAnsi="Times New Roman" w:cs="Times New Roman"/>
              </w:rPr>
              <w:t xml:space="preserve"> </w:t>
            </w:r>
          </w:p>
          <w:p w14:paraId="198A3611" w14:textId="77777777" w:rsidR="00EF5E28" w:rsidRPr="00F66630" w:rsidRDefault="00EF5E28" w:rsidP="00D4525E">
            <w:pPr>
              <w:pStyle w:val="ListParagraph"/>
              <w:numPr>
                <w:ilvl w:val="0"/>
                <w:numId w:val="100"/>
              </w:numPr>
              <w:ind w:left="1147"/>
              <w:rPr>
                <w:rFonts w:ascii="Times New Roman" w:hAnsi="Times New Roman" w:cs="Times New Roman"/>
              </w:rPr>
            </w:pPr>
            <w:r w:rsidRPr="00F66630">
              <w:rPr>
                <w:rFonts w:ascii="Times New Roman" w:hAnsi="Times New Roman" w:cs="Times New Roman"/>
              </w:rPr>
              <w:t>contradictory or illogical statements or arguments (for example, the written text contains wrong assertions such as ‘sustainability is strengthened when the debt indicators 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6648DC4D" w14:textId="77777777" w:rsidR="00EF5E28" w:rsidRPr="00F66630" w:rsidRDefault="00EF5E28" w:rsidP="00D4525E">
            <w:pPr>
              <w:pStyle w:val="ListParagraph"/>
              <w:numPr>
                <w:ilvl w:val="0"/>
                <w:numId w:val="100"/>
              </w:numPr>
              <w:ind w:left="1147"/>
              <w:rPr>
                <w:rFonts w:ascii="Times New Roman" w:hAnsi="Times New Roman" w:cs="Times New Roman"/>
              </w:rPr>
            </w:pPr>
            <w:r w:rsidRPr="00F66630">
              <w:rPr>
                <w:rFonts w:ascii="Times New Roman" w:hAnsi="Times New Roman" w:cs="Times New Roman"/>
              </w:rPr>
              <w:t>inconsistencies between the written assessment and the data, assumptions and projections presented in the document (for example, the written text refers to figures significantly different from those reported in the tables and charts)</w:t>
            </w:r>
            <w:r w:rsidRPr="00F66630">
              <w:rPr>
                <w:rFonts w:ascii="Times New Roman" w:hAnsi="Times New Roman" w:cs="Times New Roman"/>
                <w:i/>
                <w:iCs/>
              </w:rPr>
              <w:t>.</w:t>
            </w:r>
          </w:p>
          <w:p w14:paraId="143863AC" w14:textId="77777777" w:rsidR="00EF5E28" w:rsidRPr="00F66630" w:rsidRDefault="00EF5E28" w:rsidP="009B0D0E">
            <w:pPr>
              <w:rPr>
                <w:rFonts w:ascii="Times New Roman" w:hAnsi="Times New Roman" w:cs="Times New Roman"/>
                <w:b/>
                <w:bCs/>
              </w:rPr>
            </w:pPr>
          </w:p>
        </w:tc>
        <w:tc>
          <w:tcPr>
            <w:tcW w:w="2549" w:type="pct"/>
          </w:tcPr>
          <w:p w14:paraId="52546DF6" w14:textId="516FF311" w:rsidR="00EF5E28" w:rsidRPr="00F66630" w:rsidRDefault="00EF5E28" w:rsidP="000F448B">
            <w:pPr>
              <w:contextualSpacing/>
              <w:rPr>
                <w:rFonts w:ascii="Times New Roman" w:hAnsi="Times New Roman" w:cs="Times New Roman"/>
              </w:rPr>
            </w:pPr>
            <w:r w:rsidRPr="00F66630">
              <w:rPr>
                <w:rFonts w:ascii="Times New Roman" w:hAnsi="Times New Roman" w:cs="Times New Roman"/>
              </w:rPr>
              <w:lastRenderedPageBreak/>
              <w:t xml:space="preserve">For </w:t>
            </w:r>
            <w:r w:rsidR="003D03C5" w:rsidRPr="00F66630">
              <w:rPr>
                <w:rFonts w:ascii="Times New Roman" w:hAnsi="Times New Roman" w:cs="Times New Roman"/>
                <w:b/>
                <w:bCs/>
              </w:rPr>
              <w:t>(</w:t>
            </w:r>
            <w:r w:rsidRPr="00F66630">
              <w:rPr>
                <w:rFonts w:ascii="Times New Roman" w:hAnsi="Times New Roman" w:cs="Times New Roman"/>
                <w:b/>
                <w:bCs/>
                <w:i/>
                <w:iCs/>
              </w:rPr>
              <w:t xml:space="preserve">1) medium-term budget (MTB) forecasts, </w:t>
            </w:r>
            <w:r w:rsidRPr="00F66630">
              <w:rPr>
                <w:rFonts w:ascii="Times New Roman" w:hAnsi="Times New Roman" w:cs="Times New Roman"/>
                <w:b/>
                <w:bCs/>
              </w:rPr>
              <w:t>the SDSAR 2021 must contain:</w:t>
            </w:r>
            <w:r w:rsidRPr="00F66630">
              <w:rPr>
                <w:rFonts w:ascii="Times New Roman" w:hAnsi="Times New Roman" w:cs="Times New Roman"/>
              </w:rPr>
              <w:t xml:space="preserve"> </w:t>
            </w:r>
          </w:p>
          <w:p w14:paraId="5F201524" w14:textId="77777777" w:rsidR="000F448B" w:rsidRPr="00F66630" w:rsidRDefault="000F448B" w:rsidP="000F448B">
            <w:pPr>
              <w:contextualSpacing/>
              <w:rPr>
                <w:rFonts w:ascii="Times New Roman" w:hAnsi="Times New Roman" w:cs="Times New Roman"/>
              </w:rPr>
            </w:pPr>
          </w:p>
          <w:p w14:paraId="0C0B6437" w14:textId="638F6343" w:rsidR="00EF5E28" w:rsidRPr="00F66630" w:rsidRDefault="00EF5E28" w:rsidP="00D4525E">
            <w:pPr>
              <w:pStyle w:val="ListParagraph"/>
              <w:numPr>
                <w:ilvl w:val="1"/>
                <w:numId w:val="116"/>
              </w:numPr>
              <w:rPr>
                <w:rFonts w:ascii="Times New Roman" w:hAnsi="Times New Roman" w:cs="Times New Roman"/>
                <w:b/>
                <w:bCs/>
              </w:rPr>
            </w:pPr>
            <w:r w:rsidRPr="00F66630">
              <w:rPr>
                <w:rFonts w:ascii="Times New Roman" w:hAnsi="Times New Roman" w:cs="Times New Roman"/>
                <w:b/>
                <w:bCs/>
              </w:rPr>
              <w:t xml:space="preserve">Presentation of MTB forecasts in </w:t>
            </w:r>
            <w:r w:rsidR="000E2C94" w:rsidRPr="00F66630">
              <w:rPr>
                <w:rFonts w:ascii="Times New Roman" w:hAnsi="Times New Roman" w:cs="Times New Roman"/>
                <w:b/>
                <w:bCs/>
              </w:rPr>
              <w:t xml:space="preserve">either a </w:t>
            </w:r>
            <w:r w:rsidR="000E2C94" w:rsidRPr="00F66630">
              <w:rPr>
                <w:rFonts w:ascii="Times New Roman" w:hAnsi="Times New Roman" w:cs="Times New Roman"/>
                <w:b/>
              </w:rPr>
              <w:t xml:space="preserve">table </w:t>
            </w:r>
            <w:r w:rsidR="000E2C94" w:rsidRPr="00F66630">
              <w:rPr>
                <w:rFonts w:ascii="Times New Roman" w:hAnsi="Times New Roman" w:cs="Times New Roman"/>
                <w:b/>
                <w:bCs/>
              </w:rPr>
              <w:t>OR chart(s)</w:t>
            </w:r>
            <w:r w:rsidR="005319BA" w:rsidRPr="00F66630">
              <w:rPr>
                <w:rFonts w:ascii="Times New Roman" w:hAnsi="Times New Roman" w:cs="Times New Roman"/>
                <w:b/>
                <w:bCs/>
              </w:rPr>
              <w:t xml:space="preserve"> (OR both table and chart(s))</w:t>
            </w:r>
            <w:r w:rsidRPr="00F66630">
              <w:rPr>
                <w:rFonts w:ascii="Times New Roman" w:hAnsi="Times New Roman" w:cs="Times New Roman"/>
                <w:b/>
                <w:bCs/>
              </w:rPr>
              <w:t xml:space="preserve"> with </w:t>
            </w:r>
            <w:r w:rsidRPr="00F66630">
              <w:rPr>
                <w:rFonts w:ascii="Times New Roman" w:hAnsi="Times New Roman" w:cs="Times New Roman"/>
                <w:b/>
              </w:rPr>
              <w:t>projected</w:t>
            </w:r>
            <w:r w:rsidRPr="00F66630">
              <w:rPr>
                <w:rFonts w:ascii="Times New Roman" w:hAnsi="Times New Roman" w:cs="Times New Roman"/>
                <w:b/>
                <w:bCs/>
              </w:rPr>
              <w:t xml:space="preserve"> annual figures from </w:t>
            </w:r>
            <w:r w:rsidRPr="00F66630">
              <w:rPr>
                <w:rFonts w:ascii="Times New Roman" w:hAnsi="Times New Roman" w:cs="Times New Roman"/>
                <w:b/>
              </w:rPr>
              <w:t>2021</w:t>
            </w:r>
            <w:r w:rsidRPr="00F66630">
              <w:rPr>
                <w:rFonts w:ascii="Times New Roman" w:hAnsi="Times New Roman" w:cs="Times New Roman"/>
                <w:b/>
                <w:bCs/>
              </w:rPr>
              <w:t xml:space="preserve"> to 2024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w:t>
            </w:r>
          </w:p>
          <w:p w14:paraId="2C105066"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Revenues: Total Revenues, FAAC, Derivation (if applicable), IGR, Capital Receipts, and Grants.</w:t>
            </w:r>
          </w:p>
          <w:p w14:paraId="08E9184C"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7155DAC5"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Budget Balance. </w:t>
            </w:r>
          </w:p>
          <w:p w14:paraId="05B6BC7E"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4E69EA3D" w14:textId="1343D593" w:rsidR="00EF5E28" w:rsidRPr="00F66630" w:rsidRDefault="00EF5E28" w:rsidP="00D4525E">
            <w:pPr>
              <w:pStyle w:val="ListParagraph"/>
              <w:numPr>
                <w:ilvl w:val="1"/>
                <w:numId w:val="116"/>
              </w:numPr>
              <w:rPr>
                <w:rFonts w:ascii="Times New Roman" w:hAnsi="Times New Roman" w:cs="Times New Roman"/>
              </w:rPr>
            </w:pPr>
            <w:r w:rsidRPr="00F66630">
              <w:rPr>
                <w:rFonts w:ascii="Times New Roman" w:hAnsi="Times New Roman" w:cs="Times New Roman"/>
                <w:b/>
                <w:bCs/>
              </w:rPr>
              <w:t>Description of assumptions underpinning the MTB forecasts from 2021 to 2024:  either a table with assumptions OR corresponding explanations in writing (OR both)</w:t>
            </w:r>
            <w:r w:rsidRPr="00F66630">
              <w:rPr>
                <w:rFonts w:ascii="Times New Roman" w:hAnsi="Times New Roman" w:cs="Times New Roman"/>
              </w:rPr>
              <w:t xml:space="preserve"> </w:t>
            </w:r>
            <w:r w:rsidRPr="00F66630">
              <w:rPr>
                <w:rFonts w:ascii="Times New Roman" w:hAnsi="Times New Roman" w:cs="Times New Roman"/>
                <w:b/>
                <w:bCs/>
              </w:rPr>
              <w:t xml:space="preserve">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w:t>
            </w:r>
          </w:p>
          <w:p w14:paraId="504C1667" w14:textId="77777777" w:rsidR="00EF5E28" w:rsidRPr="00F66630" w:rsidRDefault="00EF5E28" w:rsidP="00EF5E28">
            <w:pPr>
              <w:numPr>
                <w:ilvl w:val="0"/>
                <w:numId w:val="95"/>
              </w:numPr>
              <w:ind w:left="1080"/>
              <w:contextualSpacing/>
              <w:rPr>
                <w:rFonts w:ascii="Times New Roman" w:hAnsi="Times New Roman" w:cs="Times New Roman"/>
              </w:rPr>
            </w:pPr>
            <w:r w:rsidRPr="00F66630">
              <w:rPr>
                <w:rFonts w:ascii="Times New Roman" w:hAnsi="Times New Roman" w:cs="Times New Roman"/>
              </w:rPr>
              <w:t xml:space="preserve">Revenues: Total Revenues, FAAC, Derivation (if applicable), IGR, Capital Receipts, and Grants. </w:t>
            </w:r>
          </w:p>
          <w:p w14:paraId="12044B02" w14:textId="77777777" w:rsidR="00EF5E28" w:rsidRPr="00F66630" w:rsidRDefault="00EF5E28" w:rsidP="00EF5E28">
            <w:pPr>
              <w:numPr>
                <w:ilvl w:val="0"/>
                <w:numId w:val="95"/>
              </w:numPr>
              <w:ind w:left="1080"/>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49BE3A2F" w14:textId="77777777" w:rsidR="00EF5E28" w:rsidRPr="00F66630" w:rsidRDefault="00EF5E28" w:rsidP="00EF5E28">
            <w:pPr>
              <w:numPr>
                <w:ilvl w:val="0"/>
                <w:numId w:val="95"/>
              </w:numPr>
              <w:ind w:left="1080"/>
              <w:contextualSpacing/>
              <w:rPr>
                <w:rFonts w:ascii="Times New Roman" w:hAnsi="Times New Roman" w:cs="Times New Roman"/>
                <w:b/>
                <w:bCs/>
              </w:rPr>
            </w:pPr>
            <w:r w:rsidRPr="00F66630">
              <w:rPr>
                <w:rFonts w:ascii="Times New Roman" w:hAnsi="Times New Roman" w:cs="Times New Roman"/>
              </w:rPr>
              <w:t>Budget Balance.</w:t>
            </w:r>
          </w:p>
          <w:p w14:paraId="21CAE83B" w14:textId="77777777" w:rsidR="00EF5E28" w:rsidRPr="00F66630" w:rsidRDefault="00EF5E28" w:rsidP="009B0D0E">
            <w:pPr>
              <w:ind w:left="1080"/>
              <w:contextualSpacing/>
              <w:rPr>
                <w:rFonts w:ascii="Times New Roman" w:hAnsi="Times New Roman" w:cs="Times New Roman"/>
                <w:b/>
                <w:bCs/>
              </w:rPr>
            </w:pPr>
            <w:r w:rsidRPr="00F66630">
              <w:rPr>
                <w:rFonts w:ascii="Times New Roman" w:hAnsi="Times New Roman" w:cs="Times New Roman"/>
                <w:b/>
                <w:bCs/>
              </w:rPr>
              <w:t>AND</w:t>
            </w:r>
          </w:p>
          <w:p w14:paraId="003BDA08" w14:textId="554FEDA0" w:rsidR="00EF5E28" w:rsidRPr="00F66630" w:rsidRDefault="00EF5E28" w:rsidP="00D4525E">
            <w:pPr>
              <w:pStyle w:val="ListParagraph"/>
              <w:numPr>
                <w:ilvl w:val="1"/>
                <w:numId w:val="116"/>
              </w:numPr>
              <w:rPr>
                <w:rFonts w:ascii="Times New Roman" w:hAnsi="Times New Roman" w:cs="Times New Roman"/>
                <w:b/>
                <w:bCs/>
              </w:rPr>
            </w:pPr>
            <w:r w:rsidRPr="00F66630">
              <w:rPr>
                <w:rFonts w:ascii="Times New Roman" w:hAnsi="Times New Roman" w:cs="Times New Roman"/>
                <w:b/>
                <w:bCs/>
              </w:rPr>
              <w:t xml:space="preserve">A summary analysis of MTB forecasts and their implications for fiscal and debt policies throughout the period 2021-2024: analysis (in writing) of whether and how the MTB forecasts inform the prospective fiscal and debt policies to be adopted at least in 2021 </w:t>
            </w:r>
            <w:r w:rsidRPr="00F66630">
              <w:rPr>
                <w:rFonts w:ascii="Times New Roman" w:hAnsi="Times New Roman" w:cs="Times New Roman"/>
              </w:rPr>
              <w:t>(for example, a commentary on whether fiscal adjustments should be adopted to preserve debt sustainability, or whether there is sufficient fiscal space to adopt expansionary policies or support public investment).</w:t>
            </w:r>
          </w:p>
          <w:p w14:paraId="13281A09" w14:textId="77777777" w:rsidR="00EF5E28" w:rsidRPr="00F66630" w:rsidRDefault="00EF5E28" w:rsidP="009B0D0E">
            <w:pPr>
              <w:ind w:left="1080"/>
              <w:contextualSpacing/>
              <w:rPr>
                <w:rFonts w:ascii="Times New Roman" w:hAnsi="Times New Roman" w:cs="Times New Roman"/>
                <w:b/>
                <w:bCs/>
              </w:rPr>
            </w:pPr>
            <w:r w:rsidRPr="00F66630">
              <w:rPr>
                <w:rFonts w:ascii="Times New Roman" w:hAnsi="Times New Roman" w:cs="Times New Roman"/>
                <w:b/>
                <w:bCs/>
              </w:rPr>
              <w:t>AND</w:t>
            </w:r>
          </w:p>
          <w:p w14:paraId="047B766F" w14:textId="20306039" w:rsidR="00EF5E28" w:rsidRPr="00F66630" w:rsidRDefault="00EF5E28" w:rsidP="00D4525E">
            <w:pPr>
              <w:pStyle w:val="ListParagraph"/>
              <w:numPr>
                <w:ilvl w:val="1"/>
                <w:numId w:val="116"/>
              </w:numPr>
              <w:rPr>
                <w:rFonts w:ascii="Times New Roman" w:hAnsi="Times New Roman" w:cs="Times New Roman"/>
                <w:i/>
                <w:iCs/>
              </w:rPr>
            </w:pPr>
            <w:r w:rsidRPr="00F66630">
              <w:rPr>
                <w:rFonts w:ascii="Times New Roman" w:hAnsi="Times New Roman" w:cs="Times New Roman"/>
                <w:b/>
                <w:bCs/>
              </w:rPr>
              <w:lastRenderedPageBreak/>
              <w:t>The presentation and analysis in the entire forecast period need to be of adequate quality, and</w:t>
            </w:r>
            <w:r w:rsidR="00C63469" w:rsidRPr="00F66630">
              <w:rPr>
                <w:rFonts w:ascii="Times New Roman" w:hAnsi="Times New Roman" w:cs="Times New Roman"/>
                <w:b/>
                <w:bCs/>
              </w:rPr>
              <w:t xml:space="preserve"> do</w:t>
            </w:r>
            <w:r w:rsidRPr="00F66630">
              <w:rPr>
                <w:rFonts w:ascii="Times New Roman" w:hAnsi="Times New Roman" w:cs="Times New Roman"/>
                <w:b/>
                <w:bCs/>
              </w:rPr>
              <w:t xml:space="preserve"> not contain</w:t>
            </w:r>
            <w:r w:rsidRPr="00F66630">
              <w:rPr>
                <w:rFonts w:ascii="Times New Roman" w:hAnsi="Times New Roman" w:cs="Times New Roman"/>
              </w:rPr>
              <w:t xml:space="preserve">: </w:t>
            </w:r>
          </w:p>
          <w:p w14:paraId="0F7B33C9" w14:textId="77777777" w:rsidR="00EF5E28" w:rsidRPr="00F66630" w:rsidRDefault="00EF5E28" w:rsidP="00D63CBD">
            <w:pPr>
              <w:pStyle w:val="ListParagraph"/>
              <w:numPr>
                <w:ilvl w:val="0"/>
                <w:numId w:val="97"/>
              </w:numPr>
              <w:rPr>
                <w:rFonts w:ascii="Times New Roman" w:hAnsi="Times New Roman" w:cs="Times New Roman"/>
              </w:rPr>
            </w:pPr>
            <w:r w:rsidRPr="00F66630">
              <w:rPr>
                <w:rFonts w:ascii="Times New Roman" w:hAnsi="Times New Roman" w:cs="Times New Roman"/>
              </w:rPr>
              <w:t>negative figures for revenue, expenditure or debt variables (budget balance can be negative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047E592E" w14:textId="77777777" w:rsidR="00EF5E28" w:rsidRPr="00F66630" w:rsidRDefault="00EF5E28" w:rsidP="00D63CBD">
            <w:pPr>
              <w:pStyle w:val="ListParagraph"/>
              <w:numPr>
                <w:ilvl w:val="0"/>
                <w:numId w:val="97"/>
              </w:numPr>
              <w:rPr>
                <w:rFonts w:ascii="Times New Roman" w:hAnsi="Times New Roman" w:cs="Times New Roman"/>
                <w:i/>
                <w:iCs/>
              </w:rPr>
            </w:pPr>
            <w:r w:rsidRPr="00F66630">
              <w:rPr>
                <w:rFonts w:ascii="Times New Roman" w:hAnsi="Times New Roman" w:cs="Times New Roman"/>
              </w:rPr>
              <w:t>contradictory or illogical statements or arguments (for example, the written text contains wrong assertions such as ‘sustainability is strengthened when the fiscal indicators 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7E2FF75B" w14:textId="77777777" w:rsidR="00EF5E28" w:rsidRPr="00F66630" w:rsidRDefault="00EF5E28" w:rsidP="00D63CBD">
            <w:pPr>
              <w:pStyle w:val="ListParagraph"/>
              <w:numPr>
                <w:ilvl w:val="0"/>
                <w:numId w:val="97"/>
              </w:numPr>
              <w:rPr>
                <w:rFonts w:ascii="Times New Roman" w:hAnsi="Times New Roman" w:cs="Times New Roman"/>
                <w:i/>
                <w:iCs/>
              </w:rPr>
            </w:pPr>
            <w:r w:rsidRPr="00F66630">
              <w:rPr>
                <w:rFonts w:ascii="Times New Roman" w:hAnsi="Times New Roman" w:cs="Times New Roman"/>
              </w:rPr>
              <w:t>inconsistencies between the written assessment and the data, assumptions and projections presented in the document (for example, the written text refers to figures and projections significantly different from those reported in the tables and charts)</w:t>
            </w:r>
            <w:r w:rsidRPr="00F66630">
              <w:rPr>
                <w:rFonts w:ascii="Times New Roman" w:hAnsi="Times New Roman" w:cs="Times New Roman"/>
                <w:i/>
                <w:iCs/>
              </w:rPr>
              <w:t xml:space="preserve">. </w:t>
            </w:r>
          </w:p>
          <w:p w14:paraId="1131528E" w14:textId="77777777" w:rsidR="00EF5E28" w:rsidRPr="00F66630" w:rsidRDefault="00EF5E28" w:rsidP="009B0D0E">
            <w:pPr>
              <w:rPr>
                <w:rFonts w:ascii="Times New Roman" w:hAnsi="Times New Roman" w:cs="Times New Roman"/>
                <w:b/>
                <w:bCs/>
              </w:rPr>
            </w:pPr>
          </w:p>
          <w:p w14:paraId="2C38DE3D" w14:textId="3315F89D" w:rsidR="00EF5E28" w:rsidRPr="00F66630" w:rsidRDefault="00EF5E28" w:rsidP="000F448B">
            <w:pPr>
              <w:contextualSpacing/>
              <w:rPr>
                <w:rFonts w:ascii="Times New Roman" w:hAnsi="Times New Roman" w:cs="Times New Roman"/>
                <w:b/>
                <w:bCs/>
              </w:rPr>
            </w:pPr>
            <w:r w:rsidRPr="00F66630">
              <w:rPr>
                <w:rFonts w:ascii="Times New Roman" w:hAnsi="Times New Roman" w:cs="Times New Roman"/>
              </w:rPr>
              <w:t>For</w:t>
            </w:r>
            <w:r w:rsidRPr="00F66630">
              <w:rPr>
                <w:rFonts w:ascii="Times New Roman" w:hAnsi="Times New Roman" w:cs="Times New Roman"/>
                <w:b/>
                <w:bCs/>
              </w:rPr>
              <w:t xml:space="preserve"> </w:t>
            </w:r>
            <w:r w:rsidR="00EE2706" w:rsidRPr="00F66630">
              <w:rPr>
                <w:rFonts w:ascii="Times New Roman" w:hAnsi="Times New Roman" w:cs="Times New Roman"/>
                <w:b/>
                <w:bCs/>
              </w:rPr>
              <w:t>(</w:t>
            </w:r>
            <w:r w:rsidRPr="00F66630">
              <w:rPr>
                <w:rFonts w:ascii="Times New Roman" w:hAnsi="Times New Roman" w:cs="Times New Roman"/>
                <w:b/>
                <w:bCs/>
                <w:i/>
                <w:iCs/>
              </w:rPr>
              <w:t>2) detailed description of the debt portfolio and borrowing options,</w:t>
            </w:r>
            <w:r w:rsidRPr="00F66630">
              <w:rPr>
                <w:rFonts w:ascii="Times New Roman" w:hAnsi="Times New Roman" w:cs="Times New Roman"/>
                <w:b/>
                <w:bCs/>
              </w:rPr>
              <w:t xml:space="preserve"> the SDSA</w:t>
            </w:r>
            <w:r w:rsidR="00EE2706" w:rsidRPr="00F66630">
              <w:rPr>
                <w:rFonts w:ascii="Times New Roman" w:hAnsi="Times New Roman" w:cs="Times New Roman"/>
                <w:b/>
                <w:bCs/>
              </w:rPr>
              <w:t>-DMS</w:t>
            </w:r>
            <w:r w:rsidRPr="00F66630">
              <w:rPr>
                <w:rFonts w:ascii="Times New Roman" w:hAnsi="Times New Roman" w:cs="Times New Roman"/>
                <w:b/>
                <w:bCs/>
              </w:rPr>
              <w:t>R 2021 must contain:</w:t>
            </w:r>
          </w:p>
          <w:p w14:paraId="6B02DBC2" w14:textId="77777777" w:rsidR="000F448B" w:rsidRPr="00F66630" w:rsidRDefault="000F448B" w:rsidP="000F448B">
            <w:pPr>
              <w:contextualSpacing/>
              <w:rPr>
                <w:rFonts w:ascii="Times New Roman" w:hAnsi="Times New Roman" w:cs="Times New Roman"/>
                <w:b/>
                <w:bCs/>
              </w:rPr>
            </w:pPr>
          </w:p>
          <w:p w14:paraId="1CB29D09" w14:textId="217E8E49" w:rsidR="00EF5E28" w:rsidRPr="00F66630" w:rsidRDefault="00DB5FEF" w:rsidP="00D4525E">
            <w:pPr>
              <w:pStyle w:val="ListParagraph"/>
              <w:numPr>
                <w:ilvl w:val="1"/>
                <w:numId w:val="117"/>
              </w:numPr>
              <w:rPr>
                <w:rFonts w:ascii="Times New Roman" w:hAnsi="Times New Roman" w:cs="Times New Roman"/>
                <w:b/>
                <w:bCs/>
              </w:rPr>
            </w:pPr>
            <w:r w:rsidRPr="00F66630">
              <w:rPr>
                <w:rFonts w:ascii="Times New Roman" w:hAnsi="Times New Roman" w:cs="Times New Roman"/>
                <w:b/>
                <w:bCs/>
              </w:rPr>
              <w:t xml:space="preserve">Presentation of debt and borrowing projections in the baseline scenario: either a table OR charts (OR both) with projected figures from 2021 to 2030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w:t>
            </w:r>
            <w:r w:rsidR="00EF5E28" w:rsidRPr="00F66630">
              <w:rPr>
                <w:rFonts w:ascii="Times New Roman" w:hAnsi="Times New Roman" w:cs="Times New Roman"/>
                <w:b/>
                <w:bCs/>
              </w:rPr>
              <w:t xml:space="preserve"> </w:t>
            </w:r>
          </w:p>
          <w:p w14:paraId="0B3F11B4"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Stock. </w:t>
            </w:r>
          </w:p>
          <w:p w14:paraId="0D96D90C"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as % of Revenues. </w:t>
            </w:r>
          </w:p>
          <w:p w14:paraId="6F114CBE" w14:textId="77777777" w:rsidR="00EF5E28" w:rsidRPr="00F66630" w:rsidRDefault="00EF5E28" w:rsidP="00EF5E28">
            <w:pPr>
              <w:numPr>
                <w:ilvl w:val="0"/>
                <w:numId w:val="94"/>
              </w:numPr>
              <w:ind w:left="1110"/>
              <w:contextualSpacing/>
              <w:rPr>
                <w:rFonts w:ascii="Times New Roman" w:hAnsi="Times New Roman" w:cs="Times New Roman"/>
              </w:rPr>
            </w:pPr>
            <w:r w:rsidRPr="00F66630">
              <w:rPr>
                <w:rFonts w:ascii="Times New Roman" w:hAnsi="Times New Roman" w:cs="Times New Roman"/>
              </w:rPr>
              <w:t xml:space="preserve">Debt Services as % of Revenues. </w:t>
            </w:r>
          </w:p>
          <w:p w14:paraId="05B9F563" w14:textId="7B009D57" w:rsidR="00EF5E28" w:rsidRPr="00B85424" w:rsidRDefault="00EF5E28" w:rsidP="00631E23">
            <w:pPr>
              <w:numPr>
                <w:ilvl w:val="0"/>
                <w:numId w:val="94"/>
              </w:numPr>
              <w:ind w:left="1110"/>
              <w:contextualSpacing/>
              <w:rPr>
                <w:rFonts w:ascii="Times New Roman" w:hAnsi="Times New Roman" w:cs="Times New Roman"/>
              </w:rPr>
            </w:pPr>
            <w:r w:rsidRPr="00F66630">
              <w:rPr>
                <w:rFonts w:ascii="Times New Roman" w:hAnsi="Times New Roman" w:cs="Times New Roman"/>
              </w:rPr>
              <w:t>Borrowings (requirements and/or sources).</w:t>
            </w:r>
          </w:p>
          <w:p w14:paraId="4A077ADB"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07508ACA" w14:textId="37E929FF" w:rsidR="00B85424" w:rsidRDefault="00B85424" w:rsidP="00B85424">
            <w:pPr>
              <w:pStyle w:val="ListParagraph"/>
              <w:ind w:left="360"/>
              <w:rPr>
                <w:rFonts w:ascii="Times New Roman" w:hAnsi="Times New Roman" w:cs="Times New Roman"/>
                <w:b/>
                <w:bCs/>
              </w:rPr>
            </w:pPr>
          </w:p>
          <w:p w14:paraId="06FCE179" w14:textId="77777777" w:rsidR="00B85424" w:rsidRDefault="00B85424" w:rsidP="00EF41F1">
            <w:pPr>
              <w:pStyle w:val="ListParagraph"/>
              <w:ind w:left="360"/>
              <w:rPr>
                <w:rFonts w:ascii="Times New Roman" w:hAnsi="Times New Roman" w:cs="Times New Roman"/>
                <w:b/>
                <w:bCs/>
              </w:rPr>
            </w:pPr>
          </w:p>
          <w:p w14:paraId="1C00FDA0" w14:textId="3F2EF3EC" w:rsidR="00EF5E28" w:rsidRPr="00F66630" w:rsidRDefault="00EF5E28" w:rsidP="00D4525E">
            <w:pPr>
              <w:pStyle w:val="ListParagraph"/>
              <w:numPr>
                <w:ilvl w:val="1"/>
                <w:numId w:val="117"/>
              </w:numPr>
              <w:rPr>
                <w:rFonts w:ascii="Times New Roman" w:hAnsi="Times New Roman" w:cs="Times New Roman"/>
                <w:b/>
                <w:bCs/>
              </w:rPr>
            </w:pPr>
            <w:r w:rsidRPr="00F66630">
              <w:rPr>
                <w:rFonts w:ascii="Times New Roman" w:hAnsi="Times New Roman" w:cs="Times New Roman"/>
                <w:b/>
                <w:bCs/>
              </w:rPr>
              <w:t xml:space="preserve">Description of assumptions underpinning the borrowing options presented: either a table with assumptions OR corresponding explanations in writing (OR both) for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the following variables: </w:t>
            </w:r>
          </w:p>
          <w:p w14:paraId="6D0EA356" w14:textId="77777777" w:rsidR="00EF5E28" w:rsidRPr="00F66630" w:rsidRDefault="00EF5E28" w:rsidP="00EF5E28">
            <w:pPr>
              <w:numPr>
                <w:ilvl w:val="0"/>
                <w:numId w:val="94"/>
              </w:numPr>
              <w:ind w:left="1110"/>
              <w:contextualSpacing/>
              <w:rPr>
                <w:rFonts w:ascii="Times New Roman" w:hAnsi="Times New Roman" w:cs="Times New Roman"/>
                <w:b/>
                <w:bCs/>
              </w:rPr>
            </w:pPr>
            <w:r w:rsidRPr="00F66630">
              <w:rPr>
                <w:rFonts w:ascii="Times New Roman" w:hAnsi="Times New Roman" w:cs="Times New Roman"/>
              </w:rPr>
              <w:t>Borrowing Sources (for example, external and domestic borrowings).</w:t>
            </w:r>
          </w:p>
          <w:p w14:paraId="659D0DA1" w14:textId="77777777" w:rsidR="00EF5E28" w:rsidRPr="00F66630" w:rsidRDefault="00EF5E28" w:rsidP="00EF5E28">
            <w:pPr>
              <w:numPr>
                <w:ilvl w:val="0"/>
                <w:numId w:val="94"/>
              </w:numPr>
              <w:ind w:left="1110"/>
              <w:contextualSpacing/>
              <w:rPr>
                <w:rFonts w:ascii="Times New Roman" w:hAnsi="Times New Roman" w:cs="Times New Roman"/>
                <w:b/>
                <w:bCs/>
              </w:rPr>
            </w:pPr>
            <w:r w:rsidRPr="00F66630">
              <w:rPr>
                <w:rFonts w:ascii="Times New Roman" w:hAnsi="Times New Roman" w:cs="Times New Roman"/>
              </w:rPr>
              <w:t>Financing Terms (for example, maturity, interest rates, currency).</w:t>
            </w:r>
          </w:p>
          <w:p w14:paraId="5520CF33" w14:textId="77777777" w:rsidR="00EF5E28" w:rsidRPr="00F66630" w:rsidRDefault="00EF5E28" w:rsidP="009B0D0E">
            <w:pPr>
              <w:ind w:left="1110"/>
              <w:contextualSpacing/>
              <w:rPr>
                <w:rFonts w:ascii="Times New Roman" w:hAnsi="Times New Roman" w:cs="Times New Roman"/>
                <w:b/>
                <w:bCs/>
              </w:rPr>
            </w:pPr>
            <w:r w:rsidRPr="00F66630">
              <w:rPr>
                <w:rFonts w:ascii="Times New Roman" w:hAnsi="Times New Roman" w:cs="Times New Roman"/>
                <w:b/>
                <w:bCs/>
              </w:rPr>
              <w:t>AND</w:t>
            </w:r>
          </w:p>
          <w:p w14:paraId="66B9BF14" w14:textId="34CE9D19" w:rsidR="00EF5E28" w:rsidRPr="00F66630" w:rsidRDefault="00EF5E28" w:rsidP="00D4525E">
            <w:pPr>
              <w:pStyle w:val="ListParagraph"/>
              <w:numPr>
                <w:ilvl w:val="1"/>
                <w:numId w:val="117"/>
              </w:numPr>
              <w:rPr>
                <w:rFonts w:ascii="Times New Roman" w:hAnsi="Times New Roman" w:cs="Times New Roman"/>
                <w:b/>
                <w:bCs/>
              </w:rPr>
            </w:pPr>
            <w:r w:rsidRPr="00F66630">
              <w:rPr>
                <w:rFonts w:ascii="Times New Roman" w:hAnsi="Times New Roman" w:cs="Times New Roman"/>
                <w:b/>
                <w:bCs/>
              </w:rPr>
              <w:t>A summary analysis of the debt projections and their implications for debt sustainability and fiscal policies throughout the period 2021-</w:t>
            </w:r>
            <w:r w:rsidRPr="00F66630">
              <w:rPr>
                <w:rFonts w:ascii="Times New Roman" w:hAnsi="Times New Roman" w:cs="Times New Roman"/>
                <w:b/>
                <w:bCs/>
              </w:rPr>
              <w:lastRenderedPageBreak/>
              <w:t xml:space="preserve">2030: analysis (in writing) of: </w:t>
            </w:r>
          </w:p>
          <w:p w14:paraId="7EE43D26" w14:textId="77777777" w:rsidR="00EF5E28" w:rsidRPr="00F66630" w:rsidRDefault="00EF5E28" w:rsidP="00D63CBD">
            <w:pPr>
              <w:pStyle w:val="ListParagraph"/>
              <w:numPr>
                <w:ilvl w:val="0"/>
                <w:numId w:val="99"/>
              </w:numPr>
              <w:rPr>
                <w:rFonts w:ascii="Times New Roman" w:hAnsi="Times New Roman" w:cs="Times New Roman"/>
              </w:rPr>
            </w:pPr>
            <w:r w:rsidRPr="00F66630">
              <w:rPr>
                <w:rFonts w:ascii="Times New Roman" w:hAnsi="Times New Roman" w:cs="Times New Roman"/>
              </w:rPr>
              <w:t xml:space="preserve">whether debt projections and thresholds suggest the State debt is sustainable (or not) over the medium- to long-term; AND </w:t>
            </w:r>
          </w:p>
          <w:p w14:paraId="150AE7AC" w14:textId="66B73BF2" w:rsidR="00EF5E28" w:rsidRPr="00F66630" w:rsidRDefault="00EF5E28" w:rsidP="00D63CBD">
            <w:pPr>
              <w:pStyle w:val="ListParagraph"/>
              <w:numPr>
                <w:ilvl w:val="0"/>
                <w:numId w:val="99"/>
              </w:numPr>
              <w:rPr>
                <w:rFonts w:ascii="Times New Roman" w:hAnsi="Times New Roman" w:cs="Times New Roman"/>
              </w:rPr>
            </w:pPr>
            <w:r w:rsidRPr="00F66630">
              <w:rPr>
                <w:rFonts w:ascii="Times New Roman" w:hAnsi="Times New Roman" w:cs="Times New Roman"/>
              </w:rPr>
              <w:t xml:space="preserve">what fiscal policies can help preserve (or restore) debt </w:t>
            </w:r>
            <w:r w:rsidR="00631E23" w:rsidRPr="00F66630">
              <w:rPr>
                <w:rFonts w:ascii="Times New Roman" w:hAnsi="Times New Roman" w:cs="Times New Roman"/>
              </w:rPr>
              <w:t>sustainability (</w:t>
            </w:r>
            <w:r w:rsidRPr="00F66630">
              <w:rPr>
                <w:rFonts w:ascii="Times New Roman" w:hAnsi="Times New Roman" w:cs="Times New Roman"/>
              </w:rPr>
              <w:t>for example, a commentary—based on comparisons between debt projections and thresholds in the baseline scenario and shock scenarios—on (i) whether the State debt is sustainable (or not), and (ii) what fiscal and debt policies should be adopted to preserve (or restore) debt sustainability).</w:t>
            </w:r>
          </w:p>
          <w:p w14:paraId="5E66778A" w14:textId="77777777" w:rsidR="00EF5E28" w:rsidRPr="00F66630" w:rsidRDefault="00EF5E28" w:rsidP="009B0D0E">
            <w:pPr>
              <w:ind w:left="1080"/>
              <w:contextualSpacing/>
              <w:rPr>
                <w:rFonts w:ascii="Times New Roman" w:hAnsi="Times New Roman" w:cs="Times New Roman"/>
                <w:b/>
                <w:bCs/>
              </w:rPr>
            </w:pPr>
            <w:r w:rsidRPr="00F66630">
              <w:rPr>
                <w:rFonts w:ascii="Times New Roman" w:hAnsi="Times New Roman" w:cs="Times New Roman"/>
                <w:b/>
                <w:bCs/>
              </w:rPr>
              <w:t>AND</w:t>
            </w:r>
          </w:p>
          <w:p w14:paraId="5B8A8F38" w14:textId="77777777" w:rsidR="00FC5265" w:rsidRPr="00F66630" w:rsidRDefault="00FC5265" w:rsidP="00D4525E">
            <w:pPr>
              <w:pStyle w:val="ListParagraph"/>
              <w:numPr>
                <w:ilvl w:val="1"/>
                <w:numId w:val="117"/>
              </w:numPr>
              <w:rPr>
                <w:rFonts w:ascii="Times New Roman" w:hAnsi="Times New Roman" w:cs="Times New Roman"/>
                <w:b/>
                <w:bCs/>
              </w:rPr>
            </w:pPr>
            <w:r w:rsidRPr="00F66630">
              <w:rPr>
                <w:rFonts w:ascii="Times New Roman" w:hAnsi="Times New Roman" w:cs="Times New Roman"/>
                <w:b/>
                <w:bCs/>
              </w:rPr>
              <w:t xml:space="preserve">A summary analysis of the projections of performance indicators used to assess DMS throughout the period 2021-2025, and their implications for cost-risk profile of State debt portfolio in 2025. </w:t>
            </w:r>
            <w:r w:rsidRPr="00F66630">
              <w:rPr>
                <w:rFonts w:ascii="Times New Roman" w:hAnsi="Times New Roman" w:cs="Times New Roman"/>
              </w:rPr>
              <w:t>The analysis (in writing) should describe:</w:t>
            </w:r>
          </w:p>
          <w:p w14:paraId="6DA54B68" w14:textId="77777777" w:rsidR="00FC5265" w:rsidRPr="00F66630" w:rsidRDefault="00FC5265" w:rsidP="00D4525E">
            <w:pPr>
              <w:ind w:left="707" w:hanging="360"/>
              <w:contextualSpacing/>
              <w:rPr>
                <w:rFonts w:ascii="Times New Roman" w:hAnsi="Times New Roman" w:cs="Times New Roman"/>
              </w:rPr>
            </w:pPr>
            <w:r w:rsidRPr="00F66630">
              <w:rPr>
                <w:rFonts w:ascii="Times New Roman" w:hAnsi="Times New Roman" w:cs="Times New Roman"/>
              </w:rPr>
              <w:t xml:space="preserve"> (i) whether DMS-related performance indicators suggest the State debt is affordable and resilient to shocks (or not) over the medium-term, and</w:t>
            </w:r>
          </w:p>
          <w:p w14:paraId="27574F51" w14:textId="6C9557F7" w:rsidR="00FC5265" w:rsidRPr="00F66630" w:rsidRDefault="00FC5265" w:rsidP="00D4525E">
            <w:pPr>
              <w:pStyle w:val="ListParagraph"/>
              <w:ind w:left="707" w:hanging="347"/>
              <w:rPr>
                <w:rFonts w:ascii="Times New Roman" w:hAnsi="Times New Roman" w:cs="Times New Roman"/>
              </w:rPr>
            </w:pPr>
            <w:r w:rsidRPr="00F66630">
              <w:rPr>
                <w:rFonts w:ascii="Times New Roman" w:hAnsi="Times New Roman" w:cs="Times New Roman"/>
              </w:rPr>
              <w:t xml:space="preserve"> (ii) what debt-management policies can help preserve (or restore) an adequate balance between cost of carrying debt and the exposure to risks. For example, a commentary—based on comparisons between projections of DMS-related performance indicators in the baseline scenario and most-adverse shock scenarios—on (i) whether the cost-risk profile of the State debt under the reference strategy is acceptable (or not), and (ii) what debt-management policies should be adopted to mitigate the cost and risk of the State debt portfolio.</w:t>
            </w:r>
          </w:p>
          <w:p w14:paraId="385C830F" w14:textId="2285ECBB" w:rsidR="00FC5265" w:rsidRPr="00F66630" w:rsidRDefault="00FC5265" w:rsidP="00D4525E">
            <w:pPr>
              <w:pStyle w:val="ListParagraph"/>
              <w:ind w:left="360"/>
              <w:rPr>
                <w:rFonts w:ascii="Times New Roman" w:hAnsi="Times New Roman" w:cs="Times New Roman"/>
                <w:b/>
                <w:bCs/>
              </w:rPr>
            </w:pPr>
            <w:r w:rsidRPr="00F66630">
              <w:rPr>
                <w:rFonts w:ascii="Times New Roman" w:hAnsi="Times New Roman" w:cs="Times New Roman"/>
                <w:b/>
                <w:bCs/>
              </w:rPr>
              <w:t>AND</w:t>
            </w:r>
          </w:p>
          <w:p w14:paraId="1C04E2F8" w14:textId="53F4929C" w:rsidR="00EF5E28" w:rsidRPr="00F66630" w:rsidRDefault="00EF5E28" w:rsidP="00D4525E">
            <w:pPr>
              <w:pStyle w:val="ListParagraph"/>
              <w:numPr>
                <w:ilvl w:val="1"/>
                <w:numId w:val="117"/>
              </w:numPr>
              <w:rPr>
                <w:rFonts w:ascii="Times New Roman" w:hAnsi="Times New Roman" w:cs="Times New Roman"/>
                <w:b/>
                <w:bCs/>
              </w:rPr>
            </w:pPr>
            <w:r w:rsidRPr="00F66630">
              <w:rPr>
                <w:rFonts w:ascii="Times New Roman" w:hAnsi="Times New Roman" w:cs="Times New Roman"/>
                <w:b/>
                <w:bCs/>
              </w:rPr>
              <w:t>The presentation and analysis in the entire forecast period need to be of adequate quality, and</w:t>
            </w:r>
            <w:r w:rsidR="00631E23">
              <w:rPr>
                <w:rFonts w:ascii="Times New Roman" w:hAnsi="Times New Roman" w:cs="Times New Roman"/>
                <w:b/>
                <w:bCs/>
              </w:rPr>
              <w:t xml:space="preserve"> do</w:t>
            </w:r>
            <w:r w:rsidR="00942753" w:rsidRPr="00F66630">
              <w:rPr>
                <w:rFonts w:ascii="Times New Roman" w:hAnsi="Times New Roman" w:cs="Times New Roman"/>
                <w:b/>
                <w:bCs/>
              </w:rPr>
              <w:t xml:space="preserve"> </w:t>
            </w:r>
            <w:r w:rsidRPr="00F66630">
              <w:rPr>
                <w:rFonts w:ascii="Times New Roman" w:hAnsi="Times New Roman" w:cs="Times New Roman"/>
                <w:b/>
                <w:bCs/>
              </w:rPr>
              <w:t>not contain</w:t>
            </w:r>
            <w:r w:rsidRPr="00F66630">
              <w:rPr>
                <w:rFonts w:ascii="Times New Roman" w:hAnsi="Times New Roman" w:cs="Times New Roman"/>
              </w:rPr>
              <w:t xml:space="preserve">: </w:t>
            </w:r>
          </w:p>
          <w:p w14:paraId="028404E9" w14:textId="77777777" w:rsidR="00EF5E28" w:rsidRPr="00F66630" w:rsidRDefault="00EF5E28" w:rsidP="00D63CBD">
            <w:pPr>
              <w:pStyle w:val="ListParagraph"/>
              <w:numPr>
                <w:ilvl w:val="0"/>
                <w:numId w:val="104"/>
              </w:numPr>
              <w:rPr>
                <w:rFonts w:ascii="Times New Roman" w:hAnsi="Times New Roman" w:cs="Times New Roman"/>
              </w:rPr>
            </w:pPr>
            <w:r w:rsidRPr="00F66630">
              <w:rPr>
                <w:rFonts w:ascii="Times New Roman" w:hAnsi="Times New Roman" w:cs="Times New Roman"/>
              </w:rPr>
              <w:t xml:space="preserve">negative figures for debt and borrowing </w:t>
            </w:r>
            <w:proofErr w:type="gramStart"/>
            <w:r w:rsidRPr="00F66630">
              <w:rPr>
                <w:rFonts w:ascii="Times New Roman" w:hAnsi="Times New Roman" w:cs="Times New Roman"/>
              </w:rPr>
              <w:t>projections;</w:t>
            </w:r>
            <w:proofErr w:type="gramEnd"/>
            <w:r w:rsidRPr="00F66630">
              <w:rPr>
                <w:rFonts w:ascii="Times New Roman" w:hAnsi="Times New Roman" w:cs="Times New Roman"/>
              </w:rPr>
              <w:t xml:space="preserve"> </w:t>
            </w:r>
          </w:p>
          <w:p w14:paraId="1DBD16B1" w14:textId="77777777" w:rsidR="00EF5E28" w:rsidRPr="00F66630" w:rsidRDefault="00EF5E28" w:rsidP="00D63CBD">
            <w:pPr>
              <w:pStyle w:val="ListParagraph"/>
              <w:numPr>
                <w:ilvl w:val="0"/>
                <w:numId w:val="104"/>
              </w:numPr>
              <w:rPr>
                <w:rFonts w:ascii="Times New Roman" w:hAnsi="Times New Roman" w:cs="Times New Roman"/>
              </w:rPr>
            </w:pPr>
            <w:r w:rsidRPr="00F66630">
              <w:rPr>
                <w:rFonts w:ascii="Times New Roman" w:hAnsi="Times New Roman" w:cs="Times New Roman"/>
              </w:rPr>
              <w:t>contradictory or illogical statements or arguments (for example, the written text contains wrong assertions such as ‘sustainability is strengthened when the debt indicators 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7A1C590B" w14:textId="77777777" w:rsidR="00EF5E28" w:rsidRPr="00F66630" w:rsidRDefault="00EF5E28" w:rsidP="00D63CBD">
            <w:pPr>
              <w:pStyle w:val="ListParagraph"/>
              <w:numPr>
                <w:ilvl w:val="0"/>
                <w:numId w:val="104"/>
              </w:numPr>
              <w:rPr>
                <w:rFonts w:ascii="Times New Roman" w:hAnsi="Times New Roman" w:cs="Times New Roman"/>
              </w:rPr>
            </w:pPr>
            <w:r w:rsidRPr="00F66630">
              <w:rPr>
                <w:rFonts w:ascii="Times New Roman" w:hAnsi="Times New Roman" w:cs="Times New Roman"/>
              </w:rPr>
              <w:t xml:space="preserve">inconsistencies between the written assessment and the data, assumptions and projections presented in the document (for example, the written text refers to figures and projections </w:t>
            </w:r>
            <w:r w:rsidRPr="00F66630">
              <w:rPr>
                <w:rFonts w:ascii="Times New Roman" w:hAnsi="Times New Roman" w:cs="Times New Roman"/>
              </w:rPr>
              <w:lastRenderedPageBreak/>
              <w:t>significantly different from those reported in the tables and charts).</w:t>
            </w:r>
          </w:p>
          <w:p w14:paraId="2C90FC8C" w14:textId="77777777" w:rsidR="00EF5E28" w:rsidRPr="00F66630" w:rsidRDefault="00EF5E28" w:rsidP="009B0D0E">
            <w:pPr>
              <w:ind w:left="1080"/>
              <w:contextualSpacing/>
              <w:rPr>
                <w:rFonts w:ascii="Times New Roman" w:hAnsi="Times New Roman" w:cs="Times New Roman"/>
                <w:b/>
                <w:bCs/>
              </w:rPr>
            </w:pPr>
          </w:p>
          <w:p w14:paraId="513562F2" w14:textId="0F254E4E" w:rsidR="00EF5E28" w:rsidRPr="00F66630" w:rsidRDefault="00EF5E28" w:rsidP="000F448B">
            <w:pPr>
              <w:contextualSpacing/>
              <w:rPr>
                <w:rFonts w:ascii="Times New Roman" w:hAnsi="Times New Roman" w:cs="Times New Roman"/>
                <w:b/>
                <w:bCs/>
              </w:rPr>
            </w:pPr>
            <w:r w:rsidRPr="00F66630">
              <w:rPr>
                <w:rFonts w:ascii="Times New Roman" w:hAnsi="Times New Roman" w:cs="Times New Roman"/>
                <w:b/>
                <w:bCs/>
              </w:rPr>
              <w:t xml:space="preserve">For </w:t>
            </w:r>
            <w:r w:rsidR="003D03C5" w:rsidRPr="00F66630">
              <w:rPr>
                <w:rFonts w:ascii="Times New Roman" w:hAnsi="Times New Roman" w:cs="Times New Roman"/>
                <w:b/>
                <w:bCs/>
              </w:rPr>
              <w:t>(</w:t>
            </w:r>
            <w:r w:rsidRPr="00F66630">
              <w:rPr>
                <w:rFonts w:ascii="Times New Roman" w:hAnsi="Times New Roman" w:cs="Times New Roman"/>
                <w:b/>
                <w:bCs/>
                <w:i/>
                <w:iCs/>
              </w:rPr>
              <w:t>3) analysis of the debt and fiscal annual figures in the preceding calendar year,</w:t>
            </w:r>
            <w:r w:rsidRPr="00F66630">
              <w:rPr>
                <w:rFonts w:ascii="Times New Roman" w:hAnsi="Times New Roman" w:cs="Times New Roman"/>
                <w:b/>
                <w:bCs/>
              </w:rPr>
              <w:t xml:space="preserve"> the </w:t>
            </w:r>
            <w:r w:rsidR="008B70FA" w:rsidRPr="00F66630">
              <w:rPr>
                <w:rFonts w:ascii="Times New Roman" w:hAnsi="Times New Roman" w:cs="Times New Roman"/>
                <w:b/>
                <w:bCs/>
              </w:rPr>
              <w:t>SDSA-DMSR</w:t>
            </w:r>
            <w:r w:rsidR="008B70FA" w:rsidRPr="00F66630" w:rsidDel="008B70FA">
              <w:rPr>
                <w:rFonts w:ascii="Times New Roman" w:hAnsi="Times New Roman" w:cs="Times New Roman"/>
                <w:b/>
                <w:bCs/>
              </w:rPr>
              <w:t xml:space="preserve"> </w:t>
            </w:r>
            <w:r w:rsidRPr="00F66630">
              <w:rPr>
                <w:rFonts w:ascii="Times New Roman" w:hAnsi="Times New Roman" w:cs="Times New Roman"/>
                <w:b/>
                <w:bCs/>
              </w:rPr>
              <w:t>2021 must contain:</w:t>
            </w:r>
          </w:p>
          <w:p w14:paraId="12EC3C4F" w14:textId="77777777" w:rsidR="000F448B" w:rsidRPr="00F66630" w:rsidRDefault="000F448B" w:rsidP="000F448B">
            <w:pPr>
              <w:contextualSpacing/>
              <w:rPr>
                <w:rFonts w:ascii="Times New Roman" w:hAnsi="Times New Roman" w:cs="Times New Roman"/>
                <w:b/>
                <w:bCs/>
              </w:rPr>
            </w:pPr>
          </w:p>
          <w:p w14:paraId="0821C0D3" w14:textId="23B23DE2" w:rsidR="00EF5E28" w:rsidRPr="00F66630" w:rsidRDefault="00D410B2" w:rsidP="00D4525E">
            <w:pPr>
              <w:pStyle w:val="ListParagraph"/>
              <w:numPr>
                <w:ilvl w:val="1"/>
                <w:numId w:val="118"/>
              </w:numPr>
              <w:rPr>
                <w:rFonts w:ascii="Times New Roman" w:hAnsi="Times New Roman" w:cs="Times New Roman"/>
              </w:rPr>
            </w:pPr>
            <w:r w:rsidRPr="00F66630">
              <w:rPr>
                <w:rFonts w:ascii="Times New Roman" w:hAnsi="Times New Roman" w:cs="Times New Roman"/>
                <w:b/>
                <w:bCs/>
              </w:rPr>
              <w:t xml:space="preserve">Presentation of revenue, expenditure, budget balance, and debt information, at least for 2020: either a table OR charts (OR both table and chart(s)) with historical figures for at least 2020 (but can extend to years preceding 2020) </w:t>
            </w:r>
            <w:proofErr w:type="gramStart"/>
            <w:r w:rsidRPr="00F66630">
              <w:rPr>
                <w:rFonts w:ascii="Times New Roman" w:hAnsi="Times New Roman" w:cs="Times New Roman"/>
                <w:b/>
                <w:bCs/>
              </w:rPr>
              <w:t>all of</w:t>
            </w:r>
            <w:proofErr w:type="gramEnd"/>
            <w:r w:rsidRPr="00F66630">
              <w:rPr>
                <w:rFonts w:ascii="Times New Roman" w:hAnsi="Times New Roman" w:cs="Times New Roman"/>
                <w:b/>
                <w:bCs/>
              </w:rPr>
              <w:t xml:space="preserve"> for the following variables</w:t>
            </w:r>
            <w:r w:rsidRPr="00F66630">
              <w:rPr>
                <w:rFonts w:ascii="Times New Roman" w:hAnsi="Times New Roman" w:cs="Times New Roman"/>
                <w:b/>
              </w:rPr>
              <w:t>:</w:t>
            </w:r>
          </w:p>
          <w:p w14:paraId="11EF0924" w14:textId="77777777" w:rsidR="00EF5E28" w:rsidRPr="00F66630" w:rsidRDefault="00EF5E28" w:rsidP="00D4525E">
            <w:pPr>
              <w:numPr>
                <w:ilvl w:val="0"/>
                <w:numId w:val="94"/>
              </w:numPr>
              <w:ind w:left="797"/>
              <w:contextualSpacing/>
              <w:rPr>
                <w:rFonts w:ascii="Times New Roman" w:hAnsi="Times New Roman" w:cs="Times New Roman"/>
              </w:rPr>
            </w:pPr>
            <w:r w:rsidRPr="00F66630">
              <w:rPr>
                <w:rFonts w:ascii="Times New Roman" w:hAnsi="Times New Roman" w:cs="Times New Roman"/>
              </w:rPr>
              <w:t xml:space="preserve">Revenues: Total Revenues, FAAC, Derivation (if applicable), IGR, Capital Receipts, and Grants. </w:t>
            </w:r>
          </w:p>
          <w:p w14:paraId="1A3E5D2F" w14:textId="77777777" w:rsidR="00EF5E28" w:rsidRPr="00F66630" w:rsidRDefault="00EF5E28" w:rsidP="00D4525E">
            <w:pPr>
              <w:numPr>
                <w:ilvl w:val="0"/>
                <w:numId w:val="94"/>
              </w:numPr>
              <w:ind w:left="797"/>
              <w:contextualSpacing/>
              <w:rPr>
                <w:rFonts w:ascii="Times New Roman" w:hAnsi="Times New Roman" w:cs="Times New Roman"/>
              </w:rPr>
            </w:pPr>
            <w:r w:rsidRPr="00F66630">
              <w:rPr>
                <w:rFonts w:ascii="Times New Roman" w:hAnsi="Times New Roman" w:cs="Times New Roman"/>
              </w:rPr>
              <w:t xml:space="preserve">Expenditures: Total Expenditures, Personnel Costs, Overhead Costs, Interest Payments, Capital Expenditures, and Amortization Payments. </w:t>
            </w:r>
          </w:p>
          <w:p w14:paraId="658982E7" w14:textId="77777777" w:rsidR="00EF5E28" w:rsidRPr="00F66630" w:rsidRDefault="00EF5E28" w:rsidP="00D4525E">
            <w:pPr>
              <w:numPr>
                <w:ilvl w:val="0"/>
                <w:numId w:val="94"/>
              </w:numPr>
              <w:ind w:left="797"/>
              <w:contextualSpacing/>
              <w:rPr>
                <w:rFonts w:ascii="Times New Roman" w:hAnsi="Times New Roman" w:cs="Times New Roman"/>
              </w:rPr>
            </w:pPr>
            <w:r w:rsidRPr="00F66630">
              <w:rPr>
                <w:rFonts w:ascii="Times New Roman" w:hAnsi="Times New Roman" w:cs="Times New Roman"/>
              </w:rPr>
              <w:t xml:space="preserve">Budget Balance. </w:t>
            </w:r>
          </w:p>
          <w:p w14:paraId="676FC5E9" w14:textId="77777777" w:rsidR="00EF5E28" w:rsidRPr="00F66630" w:rsidRDefault="00EF5E28" w:rsidP="00D4525E">
            <w:pPr>
              <w:numPr>
                <w:ilvl w:val="0"/>
                <w:numId w:val="94"/>
              </w:numPr>
              <w:ind w:left="797"/>
              <w:contextualSpacing/>
              <w:rPr>
                <w:rFonts w:ascii="Times New Roman" w:hAnsi="Times New Roman" w:cs="Times New Roman"/>
              </w:rPr>
            </w:pPr>
            <w:r w:rsidRPr="00F66630">
              <w:rPr>
                <w:rFonts w:ascii="Times New Roman" w:hAnsi="Times New Roman" w:cs="Times New Roman"/>
              </w:rPr>
              <w:t xml:space="preserve">Debt Stock. </w:t>
            </w:r>
          </w:p>
          <w:p w14:paraId="46086E5C" w14:textId="77777777" w:rsidR="00EF5E28" w:rsidRPr="00F66630" w:rsidRDefault="00EF5E28" w:rsidP="00D4525E">
            <w:pPr>
              <w:numPr>
                <w:ilvl w:val="0"/>
                <w:numId w:val="94"/>
              </w:numPr>
              <w:ind w:left="797"/>
              <w:contextualSpacing/>
              <w:rPr>
                <w:rFonts w:ascii="Times New Roman" w:hAnsi="Times New Roman" w:cs="Times New Roman"/>
              </w:rPr>
            </w:pPr>
            <w:r w:rsidRPr="00F66630">
              <w:rPr>
                <w:rFonts w:ascii="Times New Roman" w:hAnsi="Times New Roman" w:cs="Times New Roman"/>
              </w:rPr>
              <w:t xml:space="preserve">Debt as % of Revenues. </w:t>
            </w:r>
          </w:p>
          <w:p w14:paraId="4C7E9CC8" w14:textId="77777777" w:rsidR="00EF5E28" w:rsidRPr="00F66630" w:rsidRDefault="00EF5E28" w:rsidP="00D4525E">
            <w:pPr>
              <w:ind w:left="797"/>
              <w:contextualSpacing/>
              <w:rPr>
                <w:rFonts w:ascii="Times New Roman" w:hAnsi="Times New Roman" w:cs="Times New Roman"/>
                <w:b/>
                <w:bCs/>
              </w:rPr>
            </w:pPr>
            <w:r w:rsidRPr="00F66630">
              <w:rPr>
                <w:rFonts w:ascii="Times New Roman" w:hAnsi="Times New Roman" w:cs="Times New Roman"/>
                <w:b/>
                <w:bCs/>
              </w:rPr>
              <w:t>AND</w:t>
            </w:r>
          </w:p>
          <w:p w14:paraId="30518AEF" w14:textId="261A05C8" w:rsidR="00EF5E28" w:rsidRPr="00F66630" w:rsidRDefault="00EF5E28" w:rsidP="00D4525E">
            <w:pPr>
              <w:pStyle w:val="ListParagraph"/>
              <w:numPr>
                <w:ilvl w:val="1"/>
                <w:numId w:val="118"/>
              </w:numPr>
              <w:rPr>
                <w:rFonts w:ascii="Times New Roman" w:hAnsi="Times New Roman" w:cs="Times New Roman"/>
              </w:rPr>
            </w:pPr>
            <w:r w:rsidRPr="00F66630">
              <w:rPr>
                <w:rFonts w:ascii="Times New Roman" w:hAnsi="Times New Roman" w:cs="Times New Roman"/>
                <w:b/>
                <w:bCs/>
              </w:rPr>
              <w:t>A summary analysis of the information presented on revenue, expenditure, budget balance, and debt in 2020: analysis</w:t>
            </w:r>
            <w:r w:rsidRPr="00F66630">
              <w:rPr>
                <w:rFonts w:ascii="Times New Roman" w:hAnsi="Times New Roman" w:cs="Times New Roman"/>
              </w:rPr>
              <w:t xml:space="preserve"> </w:t>
            </w:r>
            <w:r w:rsidRPr="00F66630">
              <w:rPr>
                <w:rFonts w:ascii="Times New Roman" w:hAnsi="Times New Roman" w:cs="Times New Roman"/>
                <w:b/>
                <w:bCs/>
              </w:rPr>
              <w:t>(in writing) of fiscal and debt situation in 2020</w:t>
            </w:r>
            <w:r w:rsidRPr="00F66630">
              <w:rPr>
                <w:rFonts w:ascii="Times New Roman" w:hAnsi="Times New Roman" w:cs="Times New Roman"/>
              </w:rPr>
              <w:t xml:space="preserve"> (for example, a commentary on budget and debt outcomes and economic trends, what may have affected them).</w:t>
            </w:r>
          </w:p>
          <w:p w14:paraId="434BCA57" w14:textId="77777777" w:rsidR="00EF5E28" w:rsidRPr="00F66630" w:rsidRDefault="00EF5E28" w:rsidP="009B0D0E">
            <w:pPr>
              <w:ind w:left="1080"/>
              <w:contextualSpacing/>
              <w:rPr>
                <w:rFonts w:ascii="Times New Roman" w:hAnsi="Times New Roman" w:cs="Times New Roman"/>
                <w:b/>
                <w:bCs/>
              </w:rPr>
            </w:pPr>
            <w:r w:rsidRPr="00F66630">
              <w:rPr>
                <w:rFonts w:ascii="Times New Roman" w:hAnsi="Times New Roman" w:cs="Times New Roman"/>
                <w:b/>
                <w:bCs/>
              </w:rPr>
              <w:t>AND</w:t>
            </w:r>
          </w:p>
          <w:p w14:paraId="17DC641C" w14:textId="77777777" w:rsidR="00390498" w:rsidRPr="00F66630" w:rsidRDefault="00EF5E28" w:rsidP="00F65464">
            <w:pPr>
              <w:pStyle w:val="ListParagraph"/>
              <w:numPr>
                <w:ilvl w:val="1"/>
                <w:numId w:val="118"/>
              </w:numPr>
              <w:rPr>
                <w:rFonts w:ascii="Times New Roman" w:hAnsi="Times New Roman" w:cs="Times New Roman"/>
              </w:rPr>
            </w:pPr>
            <w:r w:rsidRPr="00F66630">
              <w:rPr>
                <w:rFonts w:ascii="Times New Roman" w:hAnsi="Times New Roman" w:cs="Times New Roman"/>
                <w:b/>
                <w:bCs/>
              </w:rPr>
              <w:t>A summary analysis (in writing) of the consistency between</w:t>
            </w:r>
            <w:r w:rsidR="00390498" w:rsidRPr="00F66630">
              <w:rPr>
                <w:rFonts w:ascii="Times New Roman" w:hAnsi="Times New Roman" w:cs="Times New Roman"/>
                <w:b/>
                <w:bCs/>
              </w:rPr>
              <w:t>:</w:t>
            </w:r>
          </w:p>
          <w:p w14:paraId="7E7B607E" w14:textId="07FCBDE1" w:rsidR="00390498" w:rsidRPr="00F66630" w:rsidRDefault="00EF5E28" w:rsidP="00390498">
            <w:pPr>
              <w:pStyle w:val="ListParagraph"/>
              <w:ind w:left="360"/>
              <w:rPr>
                <w:rFonts w:ascii="Times New Roman" w:hAnsi="Times New Roman" w:cs="Times New Roman"/>
              </w:rPr>
            </w:pPr>
            <w:r w:rsidRPr="00F66630">
              <w:rPr>
                <w:rFonts w:ascii="Times New Roman" w:hAnsi="Times New Roman" w:cs="Times New Roman"/>
              </w:rPr>
              <w:t xml:space="preserve">(i) the fiscal and debt information for 2020 presented in the SDSAR 2021 and </w:t>
            </w:r>
          </w:p>
          <w:p w14:paraId="4D9E4B70" w14:textId="01F71208" w:rsidR="00EF5E28" w:rsidRPr="00F66630" w:rsidRDefault="00EF5E28" w:rsidP="00D4525E">
            <w:pPr>
              <w:pStyle w:val="ListParagraph"/>
              <w:ind w:left="360"/>
              <w:rPr>
                <w:rFonts w:ascii="Times New Roman" w:hAnsi="Times New Roman" w:cs="Times New Roman"/>
              </w:rPr>
            </w:pPr>
            <w:r w:rsidRPr="00F66630">
              <w:rPr>
                <w:rFonts w:ascii="Times New Roman" w:hAnsi="Times New Roman" w:cs="Times New Roman"/>
              </w:rPr>
              <w:t>(ii) the fiscal and debt information presented in the 2020 Financial Statement and the 2020 Q4 State Debt Report.</w:t>
            </w:r>
          </w:p>
          <w:p w14:paraId="4CC0EDBD" w14:textId="77777777" w:rsidR="00EF5E28" w:rsidRPr="00F66630" w:rsidRDefault="00EF5E28" w:rsidP="009B0D0E">
            <w:pPr>
              <w:ind w:left="1080"/>
              <w:contextualSpacing/>
              <w:rPr>
                <w:rFonts w:ascii="Times New Roman" w:hAnsi="Times New Roman" w:cs="Times New Roman"/>
              </w:rPr>
            </w:pPr>
            <w:r w:rsidRPr="00F66630">
              <w:rPr>
                <w:rFonts w:ascii="Times New Roman" w:hAnsi="Times New Roman" w:cs="Times New Roman"/>
                <w:b/>
                <w:bCs/>
              </w:rPr>
              <w:t>AND</w:t>
            </w:r>
          </w:p>
          <w:p w14:paraId="206D54A3" w14:textId="2B312F3C" w:rsidR="00EF5E28" w:rsidRPr="00F66630" w:rsidRDefault="00EF5E28" w:rsidP="00D4525E">
            <w:pPr>
              <w:pStyle w:val="ListParagraph"/>
              <w:numPr>
                <w:ilvl w:val="1"/>
                <w:numId w:val="118"/>
              </w:numPr>
              <w:rPr>
                <w:rFonts w:ascii="Times New Roman" w:hAnsi="Times New Roman" w:cs="Times New Roman"/>
              </w:rPr>
            </w:pPr>
            <w:r w:rsidRPr="00F66630">
              <w:rPr>
                <w:rFonts w:ascii="Times New Roman" w:hAnsi="Times New Roman" w:cs="Times New Roman"/>
                <w:b/>
                <w:bCs/>
              </w:rPr>
              <w:t xml:space="preserve">The presentation and analysis in the entire historical period need to be of adequate </w:t>
            </w:r>
            <w:r w:rsidRPr="00F66630">
              <w:rPr>
                <w:rFonts w:ascii="Times New Roman" w:hAnsi="Times New Roman" w:cs="Times New Roman"/>
              </w:rPr>
              <w:t>quality, and</w:t>
            </w:r>
            <w:r w:rsidR="00631E23">
              <w:rPr>
                <w:rFonts w:ascii="Times New Roman" w:hAnsi="Times New Roman" w:cs="Times New Roman"/>
              </w:rPr>
              <w:t xml:space="preserve"> do</w:t>
            </w:r>
            <w:r w:rsidRPr="00F66630">
              <w:rPr>
                <w:rFonts w:ascii="Times New Roman" w:hAnsi="Times New Roman" w:cs="Times New Roman"/>
              </w:rPr>
              <w:t xml:space="preserve"> not contain: </w:t>
            </w:r>
          </w:p>
          <w:p w14:paraId="1D54B70D" w14:textId="77777777" w:rsidR="00EF5E28" w:rsidRPr="00F66630" w:rsidRDefault="00EF5E28" w:rsidP="00D63CBD">
            <w:pPr>
              <w:pStyle w:val="ListParagraph"/>
              <w:numPr>
                <w:ilvl w:val="0"/>
                <w:numId w:val="101"/>
              </w:numPr>
              <w:rPr>
                <w:rFonts w:ascii="Times New Roman" w:hAnsi="Times New Roman" w:cs="Times New Roman"/>
              </w:rPr>
            </w:pPr>
            <w:r w:rsidRPr="00F66630">
              <w:rPr>
                <w:rFonts w:ascii="Times New Roman" w:hAnsi="Times New Roman" w:cs="Times New Roman"/>
              </w:rPr>
              <w:t xml:space="preserve">negative values for revenue, expenditure, debt service or debt stock </w:t>
            </w:r>
            <w:proofErr w:type="gramStart"/>
            <w:r w:rsidRPr="00F66630">
              <w:rPr>
                <w:rFonts w:ascii="Times New Roman" w:hAnsi="Times New Roman" w:cs="Times New Roman"/>
              </w:rPr>
              <w:t>figures;</w:t>
            </w:r>
            <w:proofErr w:type="gramEnd"/>
            <w:r w:rsidRPr="00F66630">
              <w:rPr>
                <w:rFonts w:ascii="Times New Roman" w:hAnsi="Times New Roman" w:cs="Times New Roman"/>
              </w:rPr>
              <w:t xml:space="preserve"> </w:t>
            </w:r>
          </w:p>
          <w:p w14:paraId="55FF2C49" w14:textId="77777777" w:rsidR="00EF5E28" w:rsidRPr="00F66630" w:rsidRDefault="00EF5E28" w:rsidP="00D63CBD">
            <w:pPr>
              <w:pStyle w:val="ListParagraph"/>
              <w:numPr>
                <w:ilvl w:val="0"/>
                <w:numId w:val="101"/>
              </w:numPr>
              <w:rPr>
                <w:rFonts w:ascii="Times New Roman" w:hAnsi="Times New Roman" w:cs="Times New Roman"/>
              </w:rPr>
            </w:pPr>
            <w:r w:rsidRPr="00F66630">
              <w:rPr>
                <w:rFonts w:ascii="Times New Roman" w:hAnsi="Times New Roman" w:cs="Times New Roman"/>
              </w:rPr>
              <w:t xml:space="preserve">contradictory or illogical statements or arguments (for example, the written text contains wrong assertions such as </w:t>
            </w:r>
            <w:r w:rsidRPr="00F66630">
              <w:rPr>
                <w:rFonts w:ascii="Times New Roman" w:hAnsi="Times New Roman" w:cs="Times New Roman"/>
              </w:rPr>
              <w:lastRenderedPageBreak/>
              <w:t>‘sustainability is strengthened when the debt indicators deteriorate’</w:t>
            </w:r>
            <w:proofErr w:type="gramStart"/>
            <w:r w:rsidRPr="00F66630">
              <w:rPr>
                <w:rFonts w:ascii="Times New Roman" w:hAnsi="Times New Roman" w:cs="Times New Roman"/>
              </w:rPr>
              <w:t>);</w:t>
            </w:r>
            <w:proofErr w:type="gramEnd"/>
            <w:r w:rsidRPr="00F66630">
              <w:rPr>
                <w:rFonts w:ascii="Times New Roman" w:hAnsi="Times New Roman" w:cs="Times New Roman"/>
              </w:rPr>
              <w:t xml:space="preserve"> </w:t>
            </w:r>
          </w:p>
          <w:p w14:paraId="3B6A7CBC" w14:textId="67D196ED" w:rsidR="00EF5E28" w:rsidRPr="00F66630" w:rsidRDefault="00EF5E28" w:rsidP="00D63CBD">
            <w:pPr>
              <w:pStyle w:val="ListParagraph"/>
              <w:numPr>
                <w:ilvl w:val="0"/>
                <w:numId w:val="101"/>
              </w:numPr>
              <w:rPr>
                <w:rFonts w:ascii="Times New Roman" w:hAnsi="Times New Roman" w:cs="Times New Roman"/>
              </w:rPr>
            </w:pPr>
            <w:r w:rsidRPr="00F66630">
              <w:rPr>
                <w:rFonts w:ascii="Times New Roman" w:hAnsi="Times New Roman" w:cs="Times New Roman"/>
              </w:rPr>
              <w:t>inconsistencies between the written assessment and the data, assumptions and projections presented in the document (for example, the written text refers to figures significantly different from those reported in the tables and charts)</w:t>
            </w:r>
            <w:r w:rsidRPr="00F66630">
              <w:rPr>
                <w:rFonts w:ascii="Times New Roman" w:hAnsi="Times New Roman" w:cs="Times New Roman"/>
                <w:i/>
                <w:iCs/>
              </w:rPr>
              <w:t>.</w:t>
            </w:r>
          </w:p>
        </w:tc>
      </w:tr>
    </w:tbl>
    <w:p w14:paraId="5CB83FDB" w14:textId="1E782EF6" w:rsidR="00D03B99" w:rsidRPr="00F66630" w:rsidRDefault="00D03B99" w:rsidP="00D03B99"/>
    <w:p w14:paraId="03AE4FD7" w14:textId="7630C3AD" w:rsidR="000D7054" w:rsidRPr="00F66630" w:rsidRDefault="000D7054" w:rsidP="00D03B99"/>
    <w:p w14:paraId="47CFB657" w14:textId="77777777" w:rsidR="00234B14" w:rsidRPr="00F66630" w:rsidRDefault="00234B14" w:rsidP="00D03B99"/>
    <w:p w14:paraId="28214759" w14:textId="77777777" w:rsidR="000D7054" w:rsidRPr="00F66630" w:rsidRDefault="000D7054" w:rsidP="00D03B99"/>
    <w:p w14:paraId="33A5361A" w14:textId="77777777" w:rsidR="0033247E" w:rsidRPr="00F66630" w:rsidRDefault="0033247E">
      <w:r w:rsidRPr="00F66630">
        <w:br w:type="page"/>
      </w:r>
    </w:p>
    <w:tbl>
      <w:tblPr>
        <w:tblStyle w:val="TableGrid"/>
        <w:tblW w:w="5315" w:type="pct"/>
        <w:tblLook w:val="04A0" w:firstRow="1" w:lastRow="0" w:firstColumn="1" w:lastColumn="0" w:noHBand="0" w:noVBand="1"/>
      </w:tblPr>
      <w:tblGrid>
        <w:gridCol w:w="6883"/>
        <w:gridCol w:w="6883"/>
      </w:tblGrid>
      <w:tr w:rsidR="00AF01BD" w:rsidRPr="00F66630" w14:paraId="7792AF36" w14:textId="77777777" w:rsidTr="00871362">
        <w:tc>
          <w:tcPr>
            <w:tcW w:w="5000" w:type="pct"/>
            <w:gridSpan w:val="2"/>
            <w:shd w:val="clear" w:color="auto" w:fill="FDE9D9" w:themeFill="accent6" w:themeFillTint="33"/>
          </w:tcPr>
          <w:p w14:paraId="5DD96208" w14:textId="08DA240A" w:rsidR="00AF01BD" w:rsidRPr="00F66630" w:rsidRDefault="00AF01BD" w:rsidP="00871362">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r w:rsidR="00077F1C" w:rsidRPr="00F66630">
              <w:rPr>
                <w:rFonts w:ascii="Times New Roman" w:hAnsi="Times New Roman" w:cs="Times New Roman"/>
                <w:b/>
                <w:i/>
              </w:rPr>
              <w:t xml:space="preserve"> (2019 APA onwards)</w:t>
            </w:r>
          </w:p>
        </w:tc>
      </w:tr>
      <w:tr w:rsidR="00AF01BD" w:rsidRPr="00F66630" w14:paraId="4B3E634A" w14:textId="77777777" w:rsidTr="00871362">
        <w:tc>
          <w:tcPr>
            <w:tcW w:w="5000" w:type="pct"/>
            <w:gridSpan w:val="2"/>
          </w:tcPr>
          <w:p w14:paraId="51589072" w14:textId="77777777" w:rsidR="00AF01BD" w:rsidRPr="00F66630" w:rsidRDefault="00AF01BD" w:rsidP="00871362">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Data Sources</w:t>
            </w:r>
          </w:p>
          <w:p w14:paraId="4DAA398F" w14:textId="330F945E" w:rsidR="00AF01BD" w:rsidRPr="00F66630" w:rsidRDefault="00AF01BD" w:rsidP="00631E23">
            <w:pPr>
              <w:numPr>
                <w:ilvl w:val="0"/>
                <w:numId w:val="19"/>
              </w:numPr>
              <w:shd w:val="clear" w:color="auto" w:fill="FFFFFF" w:themeFill="background1"/>
              <w:contextualSpacing/>
              <w:rPr>
                <w:rFonts w:ascii="Times New Roman" w:eastAsia="Times New Roman" w:hAnsi="Times New Roman" w:cs="Times New Roman"/>
                <w:b/>
                <w:bCs/>
                <w:iCs/>
              </w:rPr>
            </w:pPr>
            <w:r w:rsidRPr="00F66630">
              <w:rPr>
                <w:rFonts w:ascii="Times New Roman" w:eastAsia="Times New Roman" w:hAnsi="Times New Roman" w:cs="Times New Roman"/>
                <w:b/>
                <w:bCs/>
                <w:iCs/>
              </w:rPr>
              <w:t>State Ministry of Finance</w:t>
            </w:r>
            <w:r w:rsidRPr="00F66630" w:rsidDel="00C12820">
              <w:rPr>
                <w:rFonts w:ascii="Times New Roman" w:eastAsia="Times New Roman" w:hAnsi="Times New Roman" w:cs="Times New Roman"/>
                <w:b/>
                <w:bCs/>
                <w:iCs/>
              </w:rPr>
              <w:t xml:space="preserve"> </w:t>
            </w:r>
            <w:r w:rsidRPr="00F66630">
              <w:rPr>
                <w:rFonts w:ascii="Times New Roman" w:eastAsia="Times New Roman" w:hAnsi="Times New Roman" w:cs="Times New Roman"/>
                <w:bCs/>
                <w:iCs/>
              </w:rPr>
              <w:t xml:space="preserve">for: </w:t>
            </w:r>
            <w:r w:rsidR="003B5D9F" w:rsidRPr="00F66630">
              <w:rPr>
                <w:rFonts w:ascii="Times New Roman" w:eastAsia="Times New Roman" w:hAnsi="Times New Roman" w:cs="Times New Roman"/>
                <w:bCs/>
                <w:iCs/>
              </w:rPr>
              <w:t>(</w:t>
            </w:r>
            <w:r w:rsidRPr="00F66630">
              <w:rPr>
                <w:rFonts w:ascii="Times New Roman" w:eastAsia="Times New Roman" w:hAnsi="Times New Roman" w:cs="Times New Roman"/>
                <w:bCs/>
                <w:iCs/>
              </w:rPr>
              <w:t xml:space="preserve">1) the quarterly SDDR (submitted to the DMO and acknowledgements); </w:t>
            </w:r>
            <w:r w:rsidR="003B5D9F" w:rsidRPr="00F66630">
              <w:rPr>
                <w:rFonts w:ascii="Times New Roman" w:eastAsia="Times New Roman" w:hAnsi="Times New Roman" w:cs="Times New Roman"/>
                <w:bCs/>
                <w:iCs/>
              </w:rPr>
              <w:t>(</w:t>
            </w:r>
            <w:r w:rsidRPr="00F66630">
              <w:rPr>
                <w:rFonts w:ascii="Times New Roman" w:eastAsia="Times New Roman" w:hAnsi="Times New Roman" w:cs="Times New Roman"/>
                <w:bCs/>
                <w:iCs/>
              </w:rPr>
              <w:t xml:space="preserve">2) the </w:t>
            </w:r>
            <w:r w:rsidR="003B5D9F" w:rsidRPr="00F66630">
              <w:rPr>
                <w:rFonts w:ascii="Times New Roman" w:eastAsia="Times New Roman" w:hAnsi="Times New Roman" w:cs="Times New Roman"/>
                <w:bCs/>
                <w:iCs/>
              </w:rPr>
              <w:t xml:space="preserve">2020 </w:t>
            </w:r>
            <w:r w:rsidRPr="00F66630">
              <w:rPr>
                <w:rFonts w:ascii="Times New Roman" w:eastAsia="Times New Roman" w:hAnsi="Times New Roman" w:cs="Times New Roman"/>
                <w:bCs/>
                <w:iCs/>
              </w:rPr>
              <w:t xml:space="preserve">SDSAR; and </w:t>
            </w:r>
            <w:r w:rsidR="003B5D9F" w:rsidRPr="00F66630">
              <w:rPr>
                <w:rFonts w:ascii="Times New Roman" w:eastAsia="Times New Roman" w:hAnsi="Times New Roman" w:cs="Times New Roman"/>
                <w:bCs/>
                <w:iCs/>
              </w:rPr>
              <w:t>(</w:t>
            </w:r>
            <w:r w:rsidRPr="00F66630">
              <w:rPr>
                <w:rFonts w:ascii="Times New Roman" w:eastAsia="Times New Roman" w:hAnsi="Times New Roman" w:cs="Times New Roman"/>
                <w:bCs/>
                <w:iCs/>
              </w:rPr>
              <w:t xml:space="preserve">3) the </w:t>
            </w:r>
            <w:r w:rsidR="003B5D9F" w:rsidRPr="00F66630">
              <w:rPr>
                <w:rFonts w:ascii="Times New Roman" w:eastAsia="Times New Roman" w:hAnsi="Times New Roman" w:cs="Times New Roman"/>
                <w:bCs/>
                <w:iCs/>
              </w:rPr>
              <w:t>2021 SDSA-DMSR</w:t>
            </w:r>
            <w:r w:rsidRPr="00F66630">
              <w:rPr>
                <w:rFonts w:ascii="Times New Roman" w:eastAsia="Times New Roman" w:hAnsi="Times New Roman" w:cs="Times New Roman"/>
                <w:bCs/>
                <w:iCs/>
              </w:rPr>
              <w:t>.</w:t>
            </w:r>
          </w:p>
          <w:p w14:paraId="166EFC1E" w14:textId="77BBB63B" w:rsidR="00AF01BD" w:rsidRPr="00631E23" w:rsidRDefault="00AF01BD" w:rsidP="00631E23">
            <w:pPr>
              <w:numPr>
                <w:ilvl w:val="0"/>
                <w:numId w:val="19"/>
              </w:numPr>
              <w:shd w:val="clear" w:color="auto" w:fill="FFFFFF" w:themeFill="background1"/>
              <w:contextualSpacing/>
              <w:rPr>
                <w:rFonts w:ascii="Times New Roman" w:eastAsia="Times New Roman" w:hAnsi="Times New Roman" w:cs="Times New Roman"/>
                <w:b/>
                <w:bCs/>
                <w:iCs/>
              </w:rPr>
            </w:pPr>
            <w:r w:rsidRPr="00F66630">
              <w:rPr>
                <w:rFonts w:ascii="Times New Roman" w:eastAsia="Times New Roman" w:hAnsi="Times New Roman" w:cs="Times New Roman"/>
                <w:b/>
                <w:bCs/>
                <w:iCs/>
              </w:rPr>
              <w:t xml:space="preserve">State official website(s) </w:t>
            </w:r>
            <w:r w:rsidRPr="00F66630">
              <w:rPr>
                <w:rFonts w:ascii="Times New Roman" w:eastAsia="Times New Roman" w:hAnsi="Times New Roman" w:cs="Times New Roman"/>
                <w:bCs/>
                <w:iCs/>
              </w:rPr>
              <w:t xml:space="preserve">for the published </w:t>
            </w:r>
            <w:r w:rsidR="003B5D9F" w:rsidRPr="00631E23">
              <w:rPr>
                <w:rFonts w:ascii="Times New Roman" w:eastAsia="Times New Roman" w:hAnsi="Times New Roman" w:cs="Times New Roman"/>
                <w:bCs/>
                <w:iCs/>
              </w:rPr>
              <w:t>2020 SDSAR</w:t>
            </w:r>
            <w:r w:rsidR="003B5D9F" w:rsidRPr="00631E23" w:rsidDel="00D15E3B">
              <w:rPr>
                <w:rFonts w:ascii="Times New Roman" w:eastAsia="Times New Roman" w:hAnsi="Times New Roman" w:cs="Times New Roman"/>
                <w:bCs/>
                <w:iCs/>
              </w:rPr>
              <w:t xml:space="preserve"> </w:t>
            </w:r>
            <w:r w:rsidR="003B5D9F" w:rsidRPr="00631E23">
              <w:rPr>
                <w:rFonts w:ascii="Times New Roman" w:eastAsia="Times New Roman" w:hAnsi="Times New Roman" w:cs="Times New Roman"/>
                <w:bCs/>
                <w:iCs/>
                <w:shd w:val="clear" w:color="auto" w:fill="FFFFFF" w:themeFill="background1"/>
              </w:rPr>
              <w:t>and 2021 SDSA-DMSR</w:t>
            </w:r>
            <w:r w:rsidRPr="00631E23">
              <w:rPr>
                <w:rFonts w:ascii="Times New Roman" w:eastAsia="Times New Roman" w:hAnsi="Times New Roman" w:cs="Times New Roman"/>
                <w:bCs/>
                <w:iCs/>
                <w:shd w:val="clear" w:color="auto" w:fill="FFFFFF" w:themeFill="background1"/>
              </w:rPr>
              <w:t>.</w:t>
            </w:r>
            <w:r w:rsidRPr="00631E23">
              <w:rPr>
                <w:rFonts w:ascii="Times New Roman" w:eastAsia="Times New Roman" w:hAnsi="Times New Roman" w:cs="Times New Roman"/>
                <w:b/>
                <w:bCs/>
                <w:iCs/>
              </w:rPr>
              <w:t xml:space="preserve"> </w:t>
            </w:r>
          </w:p>
          <w:p w14:paraId="3ACAC438" w14:textId="11224183" w:rsidR="00AF01BD" w:rsidRPr="00631E23" w:rsidRDefault="00AF01BD" w:rsidP="00631E23">
            <w:pPr>
              <w:numPr>
                <w:ilvl w:val="0"/>
                <w:numId w:val="19"/>
              </w:numPr>
              <w:shd w:val="clear" w:color="auto" w:fill="FFFFFF" w:themeFill="background1"/>
              <w:contextualSpacing/>
              <w:rPr>
                <w:rFonts w:ascii="Times New Roman" w:eastAsia="Times New Roman" w:hAnsi="Times New Roman" w:cs="Times New Roman"/>
                <w:b/>
                <w:bCs/>
                <w:iCs/>
              </w:rPr>
            </w:pPr>
            <w:r w:rsidRPr="00631E23">
              <w:rPr>
                <w:rFonts w:ascii="Times New Roman" w:eastAsia="Times New Roman" w:hAnsi="Times New Roman" w:cs="Times New Roman"/>
                <w:b/>
                <w:bCs/>
                <w:iCs/>
              </w:rPr>
              <w:t>State Debt Management Departments (DMDs</w:t>
            </w:r>
            <w:r w:rsidRPr="00631E23">
              <w:rPr>
                <w:rFonts w:ascii="Times New Roman" w:eastAsia="Times New Roman" w:hAnsi="Times New Roman" w:cs="Times New Roman"/>
                <w:bCs/>
                <w:iCs/>
              </w:rPr>
              <w:t>) for additional information (if requested by the IVA).</w:t>
            </w:r>
          </w:p>
          <w:p w14:paraId="30A529B9" w14:textId="6ED81F38" w:rsidR="00AF01BD" w:rsidRPr="00F66630" w:rsidRDefault="000A3D39" w:rsidP="00631E23">
            <w:pPr>
              <w:numPr>
                <w:ilvl w:val="0"/>
                <w:numId w:val="19"/>
              </w:numPr>
              <w:shd w:val="clear" w:color="auto" w:fill="FFFFFF" w:themeFill="background1"/>
              <w:contextualSpacing/>
              <w:rPr>
                <w:rFonts w:ascii="Times New Roman" w:eastAsia="Times New Roman" w:hAnsi="Times New Roman" w:cs="Times New Roman"/>
                <w:b/>
                <w:bCs/>
                <w:iCs/>
              </w:rPr>
            </w:pPr>
            <w:r w:rsidRPr="00631E23">
              <w:rPr>
                <w:rFonts w:ascii="Times New Roman" w:eastAsia="Times New Roman" w:hAnsi="Times New Roman" w:cs="Times New Roman"/>
                <w:b/>
                <w:bCs/>
                <w:iCs/>
              </w:rPr>
              <w:t>(</w:t>
            </w:r>
            <w:r w:rsidR="00AF01BD" w:rsidRPr="00631E23">
              <w:rPr>
                <w:rFonts w:ascii="Times New Roman" w:eastAsia="Times New Roman" w:hAnsi="Times New Roman" w:cs="Times New Roman"/>
                <w:b/>
                <w:bCs/>
                <w:iCs/>
              </w:rPr>
              <w:t>Federal</w:t>
            </w:r>
            <w:r w:rsidRPr="00631E23">
              <w:rPr>
                <w:rFonts w:ascii="Times New Roman" w:eastAsia="Times New Roman" w:hAnsi="Times New Roman" w:cs="Times New Roman"/>
                <w:b/>
                <w:bCs/>
                <w:iCs/>
              </w:rPr>
              <w:t>)</w:t>
            </w:r>
            <w:r w:rsidR="00AF01BD" w:rsidRPr="00631E23">
              <w:rPr>
                <w:rFonts w:ascii="Times New Roman" w:eastAsia="Times New Roman" w:hAnsi="Times New Roman" w:cs="Times New Roman"/>
                <w:b/>
                <w:bCs/>
                <w:iCs/>
              </w:rPr>
              <w:t xml:space="preserve"> Debt Management Office (DMO) </w:t>
            </w:r>
            <w:r w:rsidR="00AF01BD" w:rsidRPr="00631E23">
              <w:rPr>
                <w:rFonts w:ascii="Times New Roman" w:eastAsia="Times New Roman" w:hAnsi="Times New Roman" w:cs="Times New Roman"/>
                <w:bCs/>
                <w:iCs/>
              </w:rPr>
              <w:t xml:space="preserve">for: </w:t>
            </w:r>
            <w:r w:rsidR="003B5D9F" w:rsidRPr="00631E23">
              <w:rPr>
                <w:rFonts w:ascii="Times New Roman" w:eastAsia="Times New Roman" w:hAnsi="Times New Roman" w:cs="Times New Roman"/>
                <w:bCs/>
                <w:iCs/>
              </w:rPr>
              <w:t>(</w:t>
            </w:r>
            <w:r w:rsidR="00AF01BD" w:rsidRPr="00631E23">
              <w:rPr>
                <w:rFonts w:ascii="Times New Roman" w:eastAsia="Times New Roman" w:hAnsi="Times New Roman" w:cs="Times New Roman"/>
                <w:bCs/>
                <w:iCs/>
              </w:rPr>
              <w:t xml:space="preserve">1) the guidelines and templates provided by DMO for the SDDR, </w:t>
            </w:r>
            <w:r w:rsidR="00AF01BD" w:rsidRPr="00631E23">
              <w:rPr>
                <w:rFonts w:ascii="Times New Roman" w:hAnsi="Times New Roman" w:cs="Times New Roman"/>
              </w:rPr>
              <w:t xml:space="preserve">the </w:t>
            </w:r>
            <w:r w:rsidR="00AF01BD" w:rsidRPr="00631E23">
              <w:rPr>
                <w:rFonts w:ascii="Times New Roman" w:hAnsi="Times New Roman" w:cs="Times New Roman"/>
                <w:shd w:val="clear" w:color="auto" w:fill="FFFFFF" w:themeFill="background1"/>
              </w:rPr>
              <w:t>SDSAR, and the S</w:t>
            </w:r>
            <w:r w:rsidR="003B5D9F" w:rsidRPr="00631E23">
              <w:rPr>
                <w:rFonts w:ascii="Times New Roman" w:hAnsi="Times New Roman" w:cs="Times New Roman"/>
                <w:shd w:val="clear" w:color="auto" w:fill="FFFFFF" w:themeFill="background1"/>
              </w:rPr>
              <w:t>DSA-DMSR</w:t>
            </w:r>
            <w:r w:rsidR="00AF01BD" w:rsidRPr="00631E23">
              <w:rPr>
                <w:rFonts w:ascii="Times New Roman" w:eastAsia="Times New Roman" w:hAnsi="Times New Roman" w:cs="Times New Roman"/>
                <w:bCs/>
                <w:iCs/>
                <w:shd w:val="clear" w:color="auto" w:fill="FFFFFF" w:themeFill="background1"/>
              </w:rPr>
              <w:t xml:space="preserve">; </w:t>
            </w:r>
            <w:r w:rsidR="003B5D9F" w:rsidRPr="00631E23">
              <w:rPr>
                <w:rFonts w:ascii="Times New Roman" w:eastAsia="Times New Roman" w:hAnsi="Times New Roman" w:cs="Times New Roman"/>
                <w:bCs/>
                <w:iCs/>
                <w:shd w:val="clear" w:color="auto" w:fill="FFFFFF" w:themeFill="background1"/>
              </w:rPr>
              <w:t>(</w:t>
            </w:r>
            <w:r w:rsidR="00AF01BD" w:rsidRPr="00631E23">
              <w:rPr>
                <w:rFonts w:ascii="Times New Roman" w:eastAsia="Times New Roman" w:hAnsi="Times New Roman" w:cs="Times New Roman"/>
                <w:bCs/>
                <w:iCs/>
                <w:shd w:val="clear" w:color="auto" w:fill="FFFFFF" w:themeFill="background1"/>
              </w:rPr>
              <w:t xml:space="preserve">2) the standard internal protocols used by DMO for reviewing and approving SDDR, assessing the SDSAR and assessing the </w:t>
            </w:r>
            <w:r w:rsidR="003B5D9F" w:rsidRPr="00631E23">
              <w:rPr>
                <w:rFonts w:ascii="Times New Roman" w:eastAsia="Times New Roman" w:hAnsi="Times New Roman" w:cs="Times New Roman"/>
                <w:bCs/>
                <w:iCs/>
                <w:shd w:val="clear" w:color="auto" w:fill="FFFFFF" w:themeFill="background1"/>
              </w:rPr>
              <w:t>SDSA-DMSR</w:t>
            </w:r>
            <w:r w:rsidR="00AF01BD" w:rsidRPr="00631E23">
              <w:rPr>
                <w:rFonts w:ascii="Times New Roman" w:eastAsia="Times New Roman" w:hAnsi="Times New Roman" w:cs="Times New Roman"/>
                <w:bCs/>
                <w:iCs/>
                <w:shd w:val="clear" w:color="auto" w:fill="FFFFFF" w:themeFill="background1"/>
              </w:rPr>
              <w:t xml:space="preserve">; </w:t>
            </w:r>
            <w:r w:rsidR="003B5D9F" w:rsidRPr="00631E23">
              <w:rPr>
                <w:rFonts w:ascii="Times New Roman" w:eastAsia="Times New Roman" w:hAnsi="Times New Roman" w:cs="Times New Roman"/>
                <w:bCs/>
                <w:iCs/>
                <w:shd w:val="clear" w:color="auto" w:fill="FFFFFF" w:themeFill="background1"/>
              </w:rPr>
              <w:t>(</w:t>
            </w:r>
            <w:r w:rsidR="00AF01BD" w:rsidRPr="00631E23">
              <w:rPr>
                <w:rFonts w:ascii="Times New Roman" w:eastAsia="Times New Roman" w:hAnsi="Times New Roman" w:cs="Times New Roman"/>
                <w:bCs/>
                <w:iCs/>
                <w:shd w:val="clear" w:color="auto" w:fill="FFFFFF" w:themeFill="background1"/>
              </w:rPr>
              <w:t xml:space="preserve">3) the State Domestic and External Debt Report (SDEDR) and supporting documentation </w:t>
            </w:r>
            <w:r w:rsidR="00AF01BD" w:rsidRPr="00631E23">
              <w:rPr>
                <w:rFonts w:ascii="Times New Roman" w:hAnsi="Times New Roman" w:cs="Times New Roman"/>
                <w:shd w:val="clear" w:color="auto" w:fill="FFFFFF" w:themeFill="background1"/>
              </w:rPr>
              <w:t>(format and content detailed in DLI 9)</w:t>
            </w:r>
            <w:r w:rsidR="00AF01BD" w:rsidRPr="00631E23">
              <w:rPr>
                <w:rFonts w:ascii="Times New Roman" w:hAnsi="Times New Roman" w:cs="Times New Roman"/>
              </w:rPr>
              <w:t xml:space="preserve"> </w:t>
            </w:r>
            <w:r w:rsidR="00AF01BD" w:rsidRPr="00631E23">
              <w:rPr>
                <w:rFonts w:ascii="Times New Roman" w:eastAsia="Times New Roman" w:hAnsi="Times New Roman" w:cs="Times New Roman"/>
                <w:bCs/>
                <w:iCs/>
              </w:rPr>
              <w:t xml:space="preserve">for each state; </w:t>
            </w:r>
            <w:r w:rsidR="003B5D9F" w:rsidRPr="00631E23">
              <w:rPr>
                <w:rFonts w:ascii="Times New Roman" w:eastAsia="Times New Roman" w:hAnsi="Times New Roman" w:cs="Times New Roman"/>
                <w:bCs/>
                <w:iCs/>
              </w:rPr>
              <w:t>(</w:t>
            </w:r>
            <w:r w:rsidR="00AF01BD" w:rsidRPr="00631E23">
              <w:rPr>
                <w:rFonts w:ascii="Times New Roman" w:eastAsia="Times New Roman" w:hAnsi="Times New Roman" w:cs="Times New Roman"/>
                <w:bCs/>
                <w:iCs/>
              </w:rPr>
              <w:t xml:space="preserve">4) the DMO’s assessment of the SDSAR; and </w:t>
            </w:r>
            <w:r w:rsidR="003B5D9F" w:rsidRPr="00631E23">
              <w:rPr>
                <w:rFonts w:ascii="Times New Roman" w:eastAsia="Times New Roman" w:hAnsi="Times New Roman" w:cs="Times New Roman"/>
                <w:bCs/>
                <w:iCs/>
              </w:rPr>
              <w:t>(5</w:t>
            </w:r>
            <w:r w:rsidR="00AF01BD" w:rsidRPr="00631E23">
              <w:rPr>
                <w:rFonts w:ascii="Times New Roman" w:eastAsia="Times New Roman" w:hAnsi="Times New Roman" w:cs="Times New Roman"/>
                <w:bCs/>
                <w:iCs/>
              </w:rPr>
              <w:t>) the DMO’s assessment of the S</w:t>
            </w:r>
            <w:r w:rsidR="003B5D9F" w:rsidRPr="00631E23">
              <w:rPr>
                <w:rFonts w:ascii="Times New Roman" w:eastAsia="Times New Roman" w:hAnsi="Times New Roman" w:cs="Times New Roman"/>
                <w:bCs/>
                <w:iCs/>
              </w:rPr>
              <w:t>DSA-DMSR</w:t>
            </w:r>
            <w:r w:rsidR="00AF01BD" w:rsidRPr="00631E23">
              <w:rPr>
                <w:rFonts w:ascii="Times New Roman" w:eastAsia="Times New Roman" w:hAnsi="Times New Roman" w:cs="Times New Roman"/>
                <w:bCs/>
                <w:iCs/>
              </w:rPr>
              <w:t>.</w:t>
            </w:r>
          </w:p>
        </w:tc>
      </w:tr>
      <w:tr w:rsidR="00AF01BD" w:rsidRPr="00F66630" w14:paraId="7C97C683" w14:textId="77777777" w:rsidTr="00871362">
        <w:tc>
          <w:tcPr>
            <w:tcW w:w="5000" w:type="pct"/>
            <w:gridSpan w:val="2"/>
          </w:tcPr>
          <w:p w14:paraId="3373F9DB" w14:textId="77777777" w:rsidR="00AF01BD" w:rsidRPr="00F66630" w:rsidRDefault="00AF01BD" w:rsidP="00871362">
            <w:pPr>
              <w:rPr>
                <w:rFonts w:ascii="Times New Roman" w:hAnsi="Times New Roman" w:cs="Times New Roman"/>
                <w:b/>
                <w:i/>
                <w:u w:val="single"/>
              </w:rPr>
            </w:pPr>
            <w:r w:rsidRPr="00F66630">
              <w:rPr>
                <w:rFonts w:ascii="Times New Roman" w:hAnsi="Times New Roman" w:cs="Times New Roman"/>
                <w:b/>
                <w:i/>
                <w:u w:val="single"/>
              </w:rPr>
              <w:t>Procedures</w:t>
            </w:r>
          </w:p>
          <w:p w14:paraId="03451696" w14:textId="77777777" w:rsidR="00AF01BD" w:rsidRPr="00F66630" w:rsidRDefault="00AF01BD" w:rsidP="00871362">
            <w:pPr>
              <w:rPr>
                <w:rFonts w:ascii="Times New Roman" w:hAnsi="Times New Roman" w:cs="Times New Roman"/>
              </w:rPr>
            </w:pPr>
          </w:p>
          <w:p w14:paraId="0C802BAC" w14:textId="77777777" w:rsidR="00AF01BD" w:rsidRPr="00F66630" w:rsidRDefault="00AF01BD" w:rsidP="00871362">
            <w:pPr>
              <w:rPr>
                <w:rFonts w:ascii="Times New Roman" w:hAnsi="Times New Roman" w:cs="Times New Roman"/>
                <w:b/>
              </w:rPr>
            </w:pPr>
            <w:r w:rsidRPr="00F66630">
              <w:rPr>
                <w:rFonts w:ascii="Times New Roman" w:hAnsi="Times New Roman" w:cs="Times New Roman"/>
                <w:b/>
              </w:rPr>
              <w:t xml:space="preserve">For the </w:t>
            </w:r>
            <w:r w:rsidRPr="00F66630">
              <w:rPr>
                <w:rFonts w:ascii="Times New Roman" w:eastAsia="Times New Roman" w:hAnsi="Times New Roman" w:cs="Times New Roman"/>
                <w:b/>
                <w:bCs/>
                <w:iCs/>
                <w:color w:val="000000"/>
              </w:rPr>
              <w:t>quarterly State Domestic Debt Reports (SDDR)</w:t>
            </w:r>
          </w:p>
          <w:p w14:paraId="2C181B49" w14:textId="02CFD175" w:rsidR="00AF01BD" w:rsidRPr="00F66630" w:rsidRDefault="00AF01BD" w:rsidP="00871362">
            <w:pPr>
              <w:rPr>
                <w:rFonts w:ascii="Times New Roman" w:eastAsia="Times New Roman" w:hAnsi="Times New Roman" w:cs="Times New Roman"/>
                <w:bCs/>
                <w:iCs/>
              </w:rPr>
            </w:pPr>
            <w:r w:rsidRPr="00F66630">
              <w:rPr>
                <w:rFonts w:ascii="Times New Roman" w:hAnsi="Times New Roman" w:cs="Times New Roman"/>
              </w:rPr>
              <w:t>The State Ministry of Finance submits the quarterly SDDR (draft and final versions) to the DMO. States shall submit the quarterly SDDR for review and approval by the DMO within two months after the end of the quarter.</w:t>
            </w:r>
            <w:r w:rsidRPr="00F66630">
              <w:rPr>
                <w:rFonts w:ascii="Times New Roman" w:eastAsia="Times New Roman" w:hAnsi="Times New Roman" w:cs="Times New Roman"/>
                <w:bCs/>
                <w:iCs/>
              </w:rPr>
              <w:t xml:space="preserve"> </w:t>
            </w:r>
          </w:p>
          <w:p w14:paraId="79A331BE" w14:textId="77777777" w:rsidR="00FB52C9" w:rsidRPr="00F66630" w:rsidRDefault="00FB52C9" w:rsidP="00871362">
            <w:pPr>
              <w:rPr>
                <w:rFonts w:ascii="Times New Roman" w:eastAsia="Times New Roman" w:hAnsi="Times New Roman" w:cs="Times New Roman"/>
                <w:bCs/>
                <w:iCs/>
              </w:rPr>
            </w:pPr>
          </w:p>
          <w:p w14:paraId="33DB9A06" w14:textId="6B1E229B" w:rsidR="00AF01BD" w:rsidRPr="00F66630" w:rsidRDefault="00AF01BD" w:rsidP="00871362">
            <w:pPr>
              <w:rPr>
                <w:rFonts w:ascii="Times New Roman" w:hAnsi="Times New Roman" w:cs="Times New Roman"/>
              </w:rPr>
            </w:pPr>
            <w:r w:rsidRPr="00F66630">
              <w:rPr>
                <w:rFonts w:ascii="Times New Roman" w:hAnsi="Times New Roman" w:cs="Times New Roman"/>
              </w:rPr>
              <w:t xml:space="preserve">The </w:t>
            </w:r>
            <w:r w:rsidR="000A3D39" w:rsidRPr="00F66630">
              <w:rPr>
                <w:rFonts w:ascii="Times New Roman" w:hAnsi="Times New Roman" w:cs="Times New Roman"/>
              </w:rPr>
              <w:t xml:space="preserve">(Federal) </w:t>
            </w:r>
            <w:r w:rsidRPr="00F66630">
              <w:rPr>
                <w:rFonts w:ascii="Times New Roman" w:hAnsi="Times New Roman" w:cs="Times New Roman"/>
              </w:rPr>
              <w:t>Debt Management Office will carry out the following:</w:t>
            </w:r>
          </w:p>
          <w:p w14:paraId="0AB0B2F5" w14:textId="7777777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Provide a template for quarterly SDDR to each state prior to the end of the quarter being reported.</w:t>
            </w:r>
          </w:p>
          <w:p w14:paraId="37CE29DF" w14:textId="7777777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 xml:space="preserve">Submit copies of the </w:t>
            </w:r>
            <w:r w:rsidRPr="00F66630">
              <w:rPr>
                <w:rFonts w:ascii="Times New Roman" w:eastAsia="Times New Roman" w:hAnsi="Times New Roman" w:cs="Times New Roman"/>
                <w:bCs/>
                <w:iCs/>
              </w:rPr>
              <w:t>guidelines and templates provided by DMO for the SDDR and the standard internal protocols used by DMO for reviewing and approving SDDR to the IVA.</w:t>
            </w:r>
          </w:p>
          <w:p w14:paraId="7B292F6E" w14:textId="7777777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For each quarter:</w:t>
            </w:r>
          </w:p>
          <w:p w14:paraId="760D8831" w14:textId="77777777" w:rsidR="00AF01BD" w:rsidRPr="00F66630" w:rsidRDefault="00AF01BD" w:rsidP="00E36965">
            <w:pPr>
              <w:pStyle w:val="ListParagraph"/>
              <w:numPr>
                <w:ilvl w:val="1"/>
                <w:numId w:val="31"/>
              </w:numPr>
              <w:rPr>
                <w:rFonts w:ascii="Times New Roman" w:hAnsi="Times New Roman" w:cs="Times New Roman"/>
              </w:rPr>
            </w:pPr>
            <w:r w:rsidRPr="00F66630">
              <w:rPr>
                <w:rFonts w:ascii="Times New Roman" w:hAnsi="Times New Roman" w:cs="Times New Roman"/>
              </w:rPr>
              <w:t>Obtain the draft quarterly SDDR from each State.</w:t>
            </w:r>
          </w:p>
          <w:p w14:paraId="002EBC1C" w14:textId="77777777" w:rsidR="00AF01BD" w:rsidRPr="00F66630" w:rsidRDefault="00AF01BD" w:rsidP="00E36965">
            <w:pPr>
              <w:pStyle w:val="ListParagraph"/>
              <w:numPr>
                <w:ilvl w:val="1"/>
                <w:numId w:val="31"/>
              </w:numPr>
              <w:rPr>
                <w:rFonts w:ascii="Times New Roman" w:hAnsi="Times New Roman" w:cs="Times New Roman"/>
              </w:rPr>
            </w:pPr>
            <w:r w:rsidRPr="00F66630">
              <w:rPr>
                <w:rFonts w:ascii="Times New Roman" w:hAnsi="Times New Roman" w:cs="Times New Roman"/>
              </w:rPr>
              <w:t xml:space="preserve">Review the quarterly SDDR </w:t>
            </w:r>
            <w:r w:rsidRPr="00F66630">
              <w:rPr>
                <w:rFonts w:ascii="Times New Roman" w:eastAsia="Times New Roman" w:hAnsi="Times New Roman" w:cs="Times New Roman"/>
                <w:color w:val="000000"/>
              </w:rPr>
              <w:t>for accuracy and completeness and approve (if applicable)</w:t>
            </w:r>
            <w:r w:rsidRPr="00F66630">
              <w:rPr>
                <w:rFonts w:ascii="Times New Roman" w:hAnsi="Times New Roman" w:cs="Times New Roman"/>
              </w:rPr>
              <w:t xml:space="preserve">. </w:t>
            </w:r>
            <w:r w:rsidRPr="00F66630">
              <w:rPr>
                <w:rFonts w:ascii="Times New Roman" w:eastAsia="Times New Roman" w:hAnsi="Times New Roman" w:cs="Times New Roman"/>
                <w:color w:val="000000"/>
              </w:rPr>
              <w:t>The DMO will follow a standard internal protocol to review the SDDR for accuracy and completeness, including cross-checking the state’s reported domestic debt figures with CBN, DMO and FMOF Home Finance’s records, and to determine when the SDDR are considered approved.</w:t>
            </w:r>
          </w:p>
          <w:p w14:paraId="1BF33ED6" w14:textId="77777777" w:rsidR="00AF01BD" w:rsidRPr="00F66630" w:rsidRDefault="00AF01BD" w:rsidP="00E36965">
            <w:pPr>
              <w:pStyle w:val="ListParagraph"/>
              <w:numPr>
                <w:ilvl w:val="1"/>
                <w:numId w:val="31"/>
              </w:numPr>
              <w:rPr>
                <w:rFonts w:ascii="Times New Roman" w:hAnsi="Times New Roman" w:cs="Times New Roman"/>
              </w:rPr>
            </w:pPr>
            <w:r w:rsidRPr="00F66630">
              <w:rPr>
                <w:rFonts w:ascii="Times New Roman" w:eastAsia="Times New Roman" w:hAnsi="Times New Roman" w:cs="Times New Roman"/>
                <w:color w:val="000000"/>
              </w:rPr>
              <w:t>Provide feedback on any issues identified on the draft to states so that states have an opportunity to rectify the issues before submitting the final quarterly SDDR to DMO.</w:t>
            </w:r>
          </w:p>
          <w:p w14:paraId="5DBE6837" w14:textId="77777777" w:rsidR="00AF01BD" w:rsidRPr="00F66630" w:rsidRDefault="00AF01BD" w:rsidP="00E36965">
            <w:pPr>
              <w:pStyle w:val="ListParagraph"/>
              <w:numPr>
                <w:ilvl w:val="1"/>
                <w:numId w:val="31"/>
              </w:numPr>
              <w:rPr>
                <w:rFonts w:ascii="Times New Roman" w:hAnsi="Times New Roman" w:cs="Times New Roman"/>
              </w:rPr>
            </w:pPr>
            <w:r w:rsidRPr="00F66630">
              <w:rPr>
                <w:rFonts w:ascii="Times New Roman" w:eastAsia="Times New Roman" w:hAnsi="Times New Roman" w:cs="Times New Roman"/>
                <w:color w:val="000000"/>
              </w:rPr>
              <w:t>Determines if the final quarterly SDDR is considered approved.</w:t>
            </w:r>
          </w:p>
          <w:p w14:paraId="6CB0F15A" w14:textId="7777777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Establish the external debt stock at the end of the calendar year from DMO’s records and share this with states to provide an opportunity for states to query the figures.</w:t>
            </w:r>
          </w:p>
          <w:p w14:paraId="5B27EEB3" w14:textId="5C50CBC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 xml:space="preserve">Prepare the annual </w:t>
            </w:r>
            <w:r w:rsidRPr="00F66630">
              <w:rPr>
                <w:rFonts w:ascii="Times New Roman" w:eastAsia="Times New Roman" w:hAnsi="Times New Roman" w:cs="Times New Roman"/>
                <w:color w:val="000000"/>
              </w:rPr>
              <w:t xml:space="preserve">State Domestic and External Debt Report (SDEDR) for each state. The SDEDR will include information on the </w:t>
            </w:r>
            <w:r w:rsidRPr="00F66630">
              <w:rPr>
                <w:rFonts w:ascii="Times New Roman" w:hAnsi="Times New Roman" w:cs="Times New Roman"/>
              </w:rPr>
              <w:t xml:space="preserve">schedule of the quarterly SDDRs submitted by the state in each year, the average time between the end-of-quarter and the date of DMO’s approval, and explanatory notes on the reasons why quarterly SDDRs were approved or not approved. The SDEDR will </w:t>
            </w:r>
            <w:r w:rsidRPr="00F66630">
              <w:rPr>
                <w:rFonts w:ascii="Times New Roman" w:eastAsia="Times New Roman" w:hAnsi="Times New Roman" w:cs="Times New Roman"/>
                <w:color w:val="000000"/>
              </w:rPr>
              <w:t xml:space="preserve">include the state’s domestic debt, external debt and total (domestic plus external debt) debt stock at the end of the calendar year for each state and indicate whether the domestic debt component is based on Q4 SDDR approved by the DMO and is considered by the DMO as complete or not.  </w:t>
            </w:r>
          </w:p>
          <w:p w14:paraId="25FD1D2C" w14:textId="77777777" w:rsidR="00AF01BD" w:rsidRPr="00F66630" w:rsidRDefault="00AF01BD" w:rsidP="00E36965">
            <w:pPr>
              <w:pStyle w:val="ListParagraph"/>
              <w:numPr>
                <w:ilvl w:val="0"/>
                <w:numId w:val="31"/>
              </w:numPr>
              <w:rPr>
                <w:rFonts w:ascii="Times New Roman" w:hAnsi="Times New Roman" w:cs="Times New Roman"/>
              </w:rPr>
            </w:pPr>
            <w:r w:rsidRPr="00F66630">
              <w:rPr>
                <w:rFonts w:ascii="Times New Roman" w:hAnsi="Times New Roman" w:cs="Times New Roman"/>
              </w:rPr>
              <w:t xml:space="preserve">Submit the </w:t>
            </w:r>
            <w:r w:rsidRPr="00F66630">
              <w:rPr>
                <w:rFonts w:ascii="Times New Roman" w:eastAsia="Times New Roman" w:hAnsi="Times New Roman" w:cs="Times New Roman"/>
                <w:color w:val="000000"/>
              </w:rPr>
              <w:t xml:space="preserve">SDEDR </w:t>
            </w:r>
            <w:r w:rsidRPr="00F66630">
              <w:rPr>
                <w:rFonts w:ascii="Times New Roman" w:hAnsi="Times New Roman" w:cs="Times New Roman"/>
              </w:rPr>
              <w:t>to the states and to the IVA with supporting documentation within three months after the end of the year</w:t>
            </w:r>
            <w:r w:rsidRPr="00F66630">
              <w:rPr>
                <w:rFonts w:ascii="Times New Roman" w:eastAsia="Times New Roman" w:hAnsi="Times New Roman" w:cs="Times New Roman"/>
                <w:color w:val="000000"/>
              </w:rPr>
              <w:t>.</w:t>
            </w:r>
          </w:p>
          <w:p w14:paraId="7A54FA25" w14:textId="77777777" w:rsidR="00AF01BD" w:rsidRPr="00F66630" w:rsidRDefault="00AF01BD" w:rsidP="00871362">
            <w:pPr>
              <w:rPr>
                <w:rFonts w:ascii="Times New Roman" w:hAnsi="Times New Roman" w:cs="Times New Roman"/>
              </w:rPr>
            </w:pPr>
          </w:p>
          <w:p w14:paraId="290D637D" w14:textId="77777777" w:rsidR="00AF01BD" w:rsidRPr="00F66630" w:rsidRDefault="00AF01BD" w:rsidP="00871362">
            <w:pPr>
              <w:rPr>
                <w:rFonts w:ascii="Times New Roman" w:hAnsi="Times New Roman" w:cs="Times New Roman"/>
              </w:rPr>
            </w:pPr>
            <w:r w:rsidRPr="00F66630">
              <w:rPr>
                <w:rFonts w:ascii="Times New Roman" w:hAnsi="Times New Roman" w:cs="Times New Roman"/>
              </w:rPr>
              <w:t>The IVA will carry out the following:</w:t>
            </w:r>
          </w:p>
          <w:p w14:paraId="01AE8A9B" w14:textId="77777777" w:rsidR="00AF01BD" w:rsidRPr="00F66630" w:rsidRDefault="00AF01BD" w:rsidP="00E36965">
            <w:pPr>
              <w:pStyle w:val="ListParagraph"/>
              <w:numPr>
                <w:ilvl w:val="0"/>
                <w:numId w:val="33"/>
              </w:numPr>
              <w:rPr>
                <w:rFonts w:ascii="Times New Roman" w:hAnsi="Times New Roman" w:cs="Times New Roman"/>
              </w:rPr>
            </w:pPr>
            <w:r w:rsidRPr="00F66630">
              <w:rPr>
                <w:rFonts w:ascii="Times New Roman" w:hAnsi="Times New Roman" w:cs="Times New Roman"/>
              </w:rPr>
              <w:t>Obtain the State Domestic and External Debt Report (SDEDR) from the DMO, along with all underlying data and supporting documents including the DMO templates and guidelines and standard internal protocols and data from CBN, DMO and FMOF Home Finance used by the DMO to cross-check the state’s domestic debt figures.</w:t>
            </w:r>
          </w:p>
          <w:p w14:paraId="200807C5" w14:textId="77777777" w:rsidR="00AF01BD" w:rsidRPr="00F66630" w:rsidRDefault="00AF01BD" w:rsidP="00E36965">
            <w:pPr>
              <w:pStyle w:val="ListParagraph"/>
              <w:numPr>
                <w:ilvl w:val="0"/>
                <w:numId w:val="33"/>
              </w:numPr>
              <w:rPr>
                <w:rFonts w:ascii="Times New Roman" w:hAnsi="Times New Roman" w:cs="Times New Roman"/>
              </w:rPr>
            </w:pPr>
            <w:r w:rsidRPr="00F66630">
              <w:rPr>
                <w:rFonts w:ascii="Times New Roman" w:hAnsi="Times New Roman" w:cs="Times New Roman"/>
              </w:rPr>
              <w:t>Review the State Domestic and External Debt Report (SDEDR) and underlying data and supporting documents, to verify the schedule of SDDR submissions by each State and their approval (or lack thereof) by the DMO and the average time for approval by the DMO. This may include performing tests to validate debt stock figures reported in the SDEDR.</w:t>
            </w:r>
          </w:p>
          <w:p w14:paraId="1781E670" w14:textId="77777777" w:rsidR="00232FE6" w:rsidRPr="00F66630" w:rsidRDefault="00AF01BD" w:rsidP="00D4525E">
            <w:pPr>
              <w:pStyle w:val="ListParagraph"/>
              <w:numPr>
                <w:ilvl w:val="0"/>
                <w:numId w:val="33"/>
              </w:numPr>
            </w:pPr>
            <w:r w:rsidRPr="00F66630">
              <w:rPr>
                <w:rFonts w:ascii="Times New Roman" w:hAnsi="Times New Roman" w:cs="Times New Roman"/>
              </w:rPr>
              <w:t>Cross-check the SDEDR with the State’s submission on its SDDRs and form a conclusion</w:t>
            </w:r>
          </w:p>
          <w:p w14:paraId="5AA4BA9C" w14:textId="7A6F3645" w:rsidR="0033247E" w:rsidRPr="00F66630" w:rsidRDefault="0033247E" w:rsidP="0033247E">
            <w:pPr>
              <w:pStyle w:val="ListParagraph"/>
            </w:pPr>
          </w:p>
        </w:tc>
      </w:tr>
      <w:tr w:rsidR="003B5D9F" w:rsidRPr="00F66630" w14:paraId="2FC31121" w14:textId="77777777" w:rsidTr="00631E23">
        <w:tc>
          <w:tcPr>
            <w:tcW w:w="2500" w:type="pct"/>
          </w:tcPr>
          <w:p w14:paraId="37D014D6" w14:textId="55673DC9" w:rsidR="003B5D9F" w:rsidRPr="00F66630" w:rsidRDefault="003B5D9F" w:rsidP="003B5D9F">
            <w:pPr>
              <w:rPr>
                <w:rFonts w:ascii="Times New Roman" w:hAnsi="Times New Roman" w:cs="Times New Roman"/>
                <w:b/>
                <w:i/>
                <w:u w:val="single"/>
              </w:rPr>
            </w:pPr>
            <w:r w:rsidRPr="00F66630">
              <w:rPr>
                <w:rFonts w:ascii="Times New Roman" w:hAnsi="Times New Roman" w:cs="Times New Roman"/>
                <w:b/>
              </w:rPr>
              <w:lastRenderedPageBreak/>
              <w:t xml:space="preserve">For the 2020 annual </w:t>
            </w:r>
            <w:r w:rsidRPr="00F66630">
              <w:rPr>
                <w:rFonts w:ascii="Times New Roman" w:eastAsia="Times New Roman" w:hAnsi="Times New Roman" w:cs="Times New Roman"/>
                <w:b/>
                <w:bCs/>
                <w:iCs/>
                <w:color w:val="000000"/>
              </w:rPr>
              <w:t>SDSAR (year 3)</w:t>
            </w:r>
          </w:p>
        </w:tc>
        <w:tc>
          <w:tcPr>
            <w:tcW w:w="2500" w:type="pct"/>
            <w:shd w:val="clear" w:color="auto" w:fill="FFFFFF" w:themeFill="background1"/>
          </w:tcPr>
          <w:p w14:paraId="522D5281" w14:textId="74BA2334" w:rsidR="003B5D9F" w:rsidRPr="00F66630" w:rsidRDefault="003B5D9F" w:rsidP="003B5D9F">
            <w:pPr>
              <w:rPr>
                <w:rFonts w:ascii="Times New Roman" w:hAnsi="Times New Roman" w:cs="Times New Roman"/>
                <w:b/>
                <w:i/>
                <w:u w:val="single"/>
              </w:rPr>
            </w:pPr>
            <w:r w:rsidRPr="00F66630">
              <w:rPr>
                <w:rFonts w:ascii="Times New Roman" w:hAnsi="Times New Roman" w:cs="Times New Roman"/>
                <w:b/>
              </w:rPr>
              <w:t xml:space="preserve">For the 2021 annual </w:t>
            </w:r>
            <w:r w:rsidRPr="00631E23">
              <w:rPr>
                <w:rFonts w:ascii="Times New Roman" w:hAnsi="Times New Roman" w:cs="Times New Roman"/>
                <w:b/>
                <w:shd w:val="clear" w:color="auto" w:fill="FFFFFF" w:themeFill="background1"/>
              </w:rPr>
              <w:t>SDSA-DMSR (year 4)</w:t>
            </w:r>
          </w:p>
        </w:tc>
      </w:tr>
      <w:tr w:rsidR="003B5D9F" w:rsidRPr="00F66630" w14:paraId="3B5C518C" w14:textId="77777777" w:rsidTr="00631E23">
        <w:tc>
          <w:tcPr>
            <w:tcW w:w="2500" w:type="pct"/>
          </w:tcPr>
          <w:p w14:paraId="41C7B4D8" w14:textId="77777777" w:rsidR="003B5D9F" w:rsidRPr="00F66630" w:rsidRDefault="003B5D9F" w:rsidP="003B5D9F">
            <w:pPr>
              <w:rPr>
                <w:rFonts w:ascii="Times New Roman" w:hAnsi="Times New Roman" w:cs="Times New Roman"/>
              </w:rPr>
            </w:pPr>
            <w:r w:rsidRPr="00F66630">
              <w:rPr>
                <w:rFonts w:ascii="Times New Roman" w:hAnsi="Times New Roman" w:cs="Times New Roman"/>
              </w:rPr>
              <w:t>The State Ministry of Finance submits the annual SDSAR to the IVA and DMO, including the link to the state official website where it is published, and timestamp showing when it was published.</w:t>
            </w:r>
          </w:p>
          <w:p w14:paraId="2571878E" w14:textId="77777777" w:rsidR="003B5D9F" w:rsidRPr="00F66630" w:rsidRDefault="003B5D9F" w:rsidP="003B5D9F">
            <w:pPr>
              <w:rPr>
                <w:rFonts w:ascii="Times New Roman" w:hAnsi="Times New Roman" w:cs="Times New Roman"/>
              </w:rPr>
            </w:pPr>
          </w:p>
          <w:p w14:paraId="0F6A1833" w14:textId="77777777" w:rsidR="003B5D9F" w:rsidRPr="00F66630" w:rsidRDefault="003B5D9F" w:rsidP="003B5D9F">
            <w:pPr>
              <w:rPr>
                <w:rFonts w:ascii="Times New Roman" w:hAnsi="Times New Roman" w:cs="Times New Roman"/>
                <w:color w:val="000000" w:themeColor="text1"/>
              </w:rPr>
            </w:pPr>
            <w:r w:rsidRPr="00F66630">
              <w:rPr>
                <w:rFonts w:ascii="Times New Roman" w:hAnsi="Times New Roman" w:cs="Times New Roman"/>
                <w:color w:val="000000" w:themeColor="text1"/>
              </w:rPr>
              <w:t>The (Federal) Debt Management Office will carry out the following:</w:t>
            </w:r>
          </w:p>
          <w:p w14:paraId="742F062F"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 xml:space="preserve">Provide the guidelines and template for state S-DSA to each state to specify adequate standards for the SDSAR. </w:t>
            </w:r>
          </w:p>
          <w:p w14:paraId="4B0D38FA"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Submit copies of the guidelines and templates provided by DMO for the SDSAR and the standard internal protocols used by DMO for assessing the SDSAR for adequacy to the IVA.</w:t>
            </w:r>
          </w:p>
          <w:p w14:paraId="554FAB0E"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 xml:space="preserve">Obtain the annual SDSAR from each State / download from the state official website. </w:t>
            </w:r>
          </w:p>
          <w:p w14:paraId="6C6228ED"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 xml:space="preserve">Assess the SDSAR to verify the (i) inclusion of medium-term budget forecasts, (ii) detailed description of the debt portfolio and borrowing options, and (iii) analysis of the debt and fiscal annual figures in the preceding calendar year; as per the requirements in the DLI definition. </w:t>
            </w:r>
          </w:p>
          <w:p w14:paraId="0CC8FB12"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 xml:space="preserve">Prepare an assessment report of the SDSAR for each state to document their assessment of the SDSAR’s adequacy vis-à-vis detailed definition in the verification protocols and the schedule of its online publication. </w:t>
            </w:r>
          </w:p>
          <w:p w14:paraId="15549578"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 xml:space="preserve">The assessment should include feedback for each state to identify the gaps of the SDSAR vis-à-vis the detailed definitions.  </w:t>
            </w:r>
          </w:p>
          <w:p w14:paraId="68F6CB59" w14:textId="77777777" w:rsidR="003B5D9F" w:rsidRPr="00F66630" w:rsidRDefault="003B5D9F" w:rsidP="003B5D9F">
            <w:pPr>
              <w:pStyle w:val="ListParagraph"/>
              <w:numPr>
                <w:ilvl w:val="0"/>
                <w:numId w:val="119"/>
              </w:numPr>
              <w:ind w:left="427"/>
              <w:rPr>
                <w:rFonts w:ascii="Times New Roman" w:hAnsi="Times New Roman" w:cs="Times New Roman"/>
              </w:rPr>
            </w:pPr>
            <w:r w:rsidRPr="00F66630">
              <w:rPr>
                <w:rFonts w:ascii="Times New Roman" w:hAnsi="Times New Roman" w:cs="Times New Roman"/>
              </w:rPr>
              <w:t>Submit the assessment report of the SDSAR to the IVA by 31 March 2021.</w:t>
            </w:r>
          </w:p>
          <w:p w14:paraId="5EE3FC5B" w14:textId="77777777" w:rsidR="003B5D9F" w:rsidRPr="00F66630" w:rsidRDefault="003B5D9F" w:rsidP="003B5D9F">
            <w:pPr>
              <w:rPr>
                <w:rFonts w:ascii="Times New Roman" w:hAnsi="Times New Roman" w:cs="Times New Roman"/>
              </w:rPr>
            </w:pPr>
          </w:p>
          <w:p w14:paraId="6B5525E4" w14:textId="77777777" w:rsidR="003B5D9F" w:rsidRPr="00F66630" w:rsidRDefault="003B5D9F" w:rsidP="003B5D9F">
            <w:pPr>
              <w:rPr>
                <w:rFonts w:ascii="Times New Roman" w:hAnsi="Times New Roman" w:cs="Times New Roman"/>
              </w:rPr>
            </w:pPr>
            <w:r w:rsidRPr="00F66630">
              <w:rPr>
                <w:rFonts w:ascii="Times New Roman" w:hAnsi="Times New Roman" w:cs="Times New Roman"/>
              </w:rPr>
              <w:t>The IVA will carry out the following:</w:t>
            </w:r>
          </w:p>
          <w:p w14:paraId="3C9B9F2E" w14:textId="77777777" w:rsidR="003B5D9F" w:rsidRPr="00F66630" w:rsidRDefault="003B5D9F" w:rsidP="003B5D9F">
            <w:pPr>
              <w:pStyle w:val="ListParagraph"/>
              <w:numPr>
                <w:ilvl w:val="0"/>
                <w:numId w:val="120"/>
              </w:numPr>
              <w:rPr>
                <w:rFonts w:ascii="Times New Roman" w:hAnsi="Times New Roman" w:cs="Times New Roman"/>
              </w:rPr>
            </w:pPr>
            <w:r w:rsidRPr="00F66630">
              <w:rPr>
                <w:rFonts w:ascii="Times New Roman" w:hAnsi="Times New Roman" w:cs="Times New Roman"/>
              </w:rPr>
              <w:lastRenderedPageBreak/>
              <w:t>Confirm the existence of the SDSAR on the state official website, confirm the SDSAR was published by 31 December 2020, and download a copy for validation.</w:t>
            </w:r>
          </w:p>
          <w:p w14:paraId="6391CD2F" w14:textId="77777777" w:rsidR="003B5D9F" w:rsidRPr="00F66630" w:rsidRDefault="003B5D9F" w:rsidP="003B5D9F">
            <w:pPr>
              <w:pStyle w:val="ListParagraph"/>
              <w:numPr>
                <w:ilvl w:val="0"/>
                <w:numId w:val="120"/>
              </w:numPr>
              <w:rPr>
                <w:rFonts w:ascii="Times New Roman" w:hAnsi="Times New Roman" w:cs="Times New Roman"/>
              </w:rPr>
            </w:pPr>
            <w:r w:rsidRPr="00F66630">
              <w:rPr>
                <w:rFonts w:ascii="Times New Roman" w:hAnsi="Times New Roman" w:cs="Times New Roman"/>
              </w:rPr>
              <w:t>Obtain the assessment report of the SDSAR from the DMO, along with all underlying data and supporting documents.</w:t>
            </w:r>
          </w:p>
          <w:p w14:paraId="40C82F08" w14:textId="3B707052" w:rsidR="003B5D9F" w:rsidRPr="00F66630" w:rsidRDefault="003B5D9F" w:rsidP="00D4525E">
            <w:pPr>
              <w:pStyle w:val="ListParagraph"/>
              <w:numPr>
                <w:ilvl w:val="0"/>
                <w:numId w:val="120"/>
              </w:numPr>
              <w:rPr>
                <w:rFonts w:ascii="Times New Roman" w:hAnsi="Times New Roman" w:cs="Times New Roman"/>
              </w:rPr>
            </w:pPr>
            <w:r w:rsidRPr="00F66630">
              <w:rPr>
                <w:rFonts w:ascii="Times New Roman" w:hAnsi="Times New Roman" w:cs="Times New Roman"/>
              </w:rPr>
              <w:t>Review the assessment report of the SDSAR from the DMO, re-perform checks as necessary, perform additional checks wherever the assessment report from the DMO is unavailable, and conclude on each annual SDSAR.</w:t>
            </w:r>
          </w:p>
        </w:tc>
        <w:tc>
          <w:tcPr>
            <w:tcW w:w="2500" w:type="pct"/>
            <w:shd w:val="clear" w:color="auto" w:fill="FFFFFF" w:themeFill="background1"/>
          </w:tcPr>
          <w:p w14:paraId="0A811A2B" w14:textId="77777777" w:rsidR="003B5D9F" w:rsidRPr="00F66630" w:rsidRDefault="003B5D9F" w:rsidP="00631E23">
            <w:pPr>
              <w:shd w:val="clear" w:color="auto" w:fill="FFFFFF" w:themeFill="background1"/>
              <w:rPr>
                <w:rFonts w:ascii="Times New Roman" w:hAnsi="Times New Roman" w:cs="Times New Roman"/>
              </w:rPr>
            </w:pPr>
            <w:r w:rsidRPr="00F66630">
              <w:rPr>
                <w:rFonts w:ascii="Times New Roman" w:hAnsi="Times New Roman" w:cs="Times New Roman"/>
              </w:rPr>
              <w:lastRenderedPageBreak/>
              <w:t xml:space="preserve">The State Ministry of Finance submits the </w:t>
            </w:r>
            <w:r w:rsidRPr="00631E23">
              <w:rPr>
                <w:rFonts w:ascii="Times New Roman" w:hAnsi="Times New Roman" w:cs="Times New Roman"/>
                <w:shd w:val="clear" w:color="auto" w:fill="FFFFFF" w:themeFill="background1"/>
              </w:rPr>
              <w:t>annual SDSA-DMSR to the IVA and DMO, including the link to the state official website where it is published, and timestamp showing when it was published.</w:t>
            </w:r>
          </w:p>
          <w:p w14:paraId="15D58F02" w14:textId="77777777" w:rsidR="003B5D9F" w:rsidRPr="00F66630" w:rsidRDefault="003B5D9F" w:rsidP="00631E23">
            <w:pPr>
              <w:shd w:val="clear" w:color="auto" w:fill="FFFFFF" w:themeFill="background1"/>
              <w:rPr>
                <w:rFonts w:ascii="Times New Roman" w:hAnsi="Times New Roman" w:cs="Times New Roman"/>
              </w:rPr>
            </w:pPr>
          </w:p>
          <w:p w14:paraId="3CDBF9B9" w14:textId="77777777" w:rsidR="003B5D9F" w:rsidRPr="00F66630" w:rsidRDefault="003B5D9F" w:rsidP="003B5D9F">
            <w:pPr>
              <w:rPr>
                <w:rFonts w:ascii="Times New Roman" w:hAnsi="Times New Roman" w:cs="Times New Roman"/>
                <w:color w:val="000000" w:themeColor="text1"/>
              </w:rPr>
            </w:pPr>
            <w:r w:rsidRPr="00F66630">
              <w:rPr>
                <w:rFonts w:ascii="Times New Roman" w:hAnsi="Times New Roman" w:cs="Times New Roman"/>
                <w:color w:val="000000" w:themeColor="text1"/>
              </w:rPr>
              <w:t>The (Federal) Debt Management Office will carry out the following:</w:t>
            </w:r>
          </w:p>
          <w:p w14:paraId="5E07F84F" w14:textId="77777777" w:rsidR="003B5D9F" w:rsidRPr="00F66630" w:rsidRDefault="003B5D9F" w:rsidP="003B5D9F">
            <w:pPr>
              <w:pStyle w:val="ListParagraph"/>
              <w:numPr>
                <w:ilvl w:val="0"/>
                <w:numId w:val="121"/>
              </w:numPr>
              <w:ind w:left="471"/>
              <w:rPr>
                <w:rFonts w:ascii="Times New Roman" w:hAnsi="Times New Roman" w:cs="Times New Roman"/>
              </w:rPr>
            </w:pPr>
            <w:r w:rsidRPr="00F66630">
              <w:rPr>
                <w:rFonts w:ascii="Times New Roman" w:hAnsi="Times New Roman" w:cs="Times New Roman"/>
              </w:rPr>
              <w:t>Provide the guidelines and template for S-DSA-DMS to each state to specify adequate standards for the SDSA-DMSR.</w:t>
            </w:r>
          </w:p>
          <w:p w14:paraId="72CDE130" w14:textId="77777777" w:rsidR="003B5D9F" w:rsidRPr="00F66630" w:rsidRDefault="003B5D9F" w:rsidP="003B5D9F">
            <w:pPr>
              <w:pStyle w:val="ListParagraph"/>
              <w:numPr>
                <w:ilvl w:val="0"/>
                <w:numId w:val="121"/>
              </w:numPr>
              <w:ind w:left="427"/>
              <w:rPr>
                <w:rFonts w:ascii="Times New Roman" w:hAnsi="Times New Roman" w:cs="Times New Roman"/>
              </w:rPr>
            </w:pPr>
            <w:r w:rsidRPr="00F66630">
              <w:rPr>
                <w:rFonts w:ascii="Times New Roman" w:hAnsi="Times New Roman" w:cs="Times New Roman"/>
              </w:rPr>
              <w:t>Submit copies of the guidelines and templates provided by DMO for the SDSA-DMSR and the standard internal protocols used by DMO for assessing the SDSA-DMSR for adequacy to the IVA.</w:t>
            </w:r>
          </w:p>
          <w:p w14:paraId="5F44DD41" w14:textId="77777777" w:rsidR="003B5D9F" w:rsidRPr="00F66630" w:rsidRDefault="003B5D9F" w:rsidP="003B5D9F">
            <w:pPr>
              <w:pStyle w:val="ListParagraph"/>
              <w:numPr>
                <w:ilvl w:val="0"/>
                <w:numId w:val="121"/>
              </w:numPr>
              <w:ind w:left="427"/>
              <w:rPr>
                <w:rFonts w:ascii="Times New Roman" w:hAnsi="Times New Roman" w:cs="Times New Roman"/>
              </w:rPr>
            </w:pPr>
            <w:r w:rsidRPr="00F66630">
              <w:rPr>
                <w:rFonts w:ascii="Times New Roman" w:hAnsi="Times New Roman" w:cs="Times New Roman"/>
              </w:rPr>
              <w:t xml:space="preserve">Obtain the annual SDSA-DMSR from each State / download from the state official website. </w:t>
            </w:r>
          </w:p>
          <w:p w14:paraId="6FE8F953" w14:textId="77777777" w:rsidR="003B5D9F" w:rsidRPr="00F66630" w:rsidRDefault="003B5D9F" w:rsidP="003B5D9F">
            <w:pPr>
              <w:pStyle w:val="ListParagraph"/>
              <w:numPr>
                <w:ilvl w:val="0"/>
                <w:numId w:val="121"/>
              </w:numPr>
              <w:ind w:left="427"/>
              <w:rPr>
                <w:rFonts w:ascii="Times New Roman" w:hAnsi="Times New Roman" w:cs="Times New Roman"/>
              </w:rPr>
            </w:pPr>
            <w:r w:rsidRPr="00F66630">
              <w:rPr>
                <w:rFonts w:ascii="Times New Roman" w:hAnsi="Times New Roman" w:cs="Times New Roman"/>
              </w:rPr>
              <w:t xml:space="preserve">Assess the SDSA-DMSR to verify the (i) inclusion of medium-term budget forecasts, (ii) detailed description of the debt portfolio and borrowing options, and (iii) analysis of the debt and fiscal annual figures in the preceding calendar year; as per the requirements in the DLI definition. </w:t>
            </w:r>
          </w:p>
          <w:p w14:paraId="57B1E8E0" w14:textId="77777777" w:rsidR="003B5D9F" w:rsidRPr="00F66630" w:rsidRDefault="003B5D9F" w:rsidP="003B5D9F">
            <w:pPr>
              <w:pStyle w:val="ListParagraph"/>
              <w:numPr>
                <w:ilvl w:val="0"/>
                <w:numId w:val="121"/>
              </w:numPr>
              <w:ind w:left="427"/>
              <w:rPr>
                <w:rFonts w:ascii="Times New Roman" w:hAnsi="Times New Roman" w:cs="Times New Roman"/>
              </w:rPr>
            </w:pPr>
            <w:r w:rsidRPr="00F66630">
              <w:rPr>
                <w:rFonts w:ascii="Times New Roman" w:hAnsi="Times New Roman" w:cs="Times New Roman"/>
              </w:rPr>
              <w:t xml:space="preserve">Prepare an assessment report of the SDSA-DMSR for each state to document their assessment of the SDSA-DMSR’s adequacy vis-à-vis detailed definition in the verification protocols and the schedule of its online publication. </w:t>
            </w:r>
          </w:p>
          <w:p w14:paraId="5F3FBFCD" w14:textId="77777777" w:rsidR="003B5D9F" w:rsidRPr="00F66630" w:rsidRDefault="003B5D9F" w:rsidP="003B5D9F">
            <w:pPr>
              <w:pStyle w:val="ListParagraph"/>
              <w:numPr>
                <w:ilvl w:val="0"/>
                <w:numId w:val="121"/>
              </w:numPr>
              <w:ind w:left="427"/>
              <w:rPr>
                <w:rFonts w:ascii="Times New Roman" w:hAnsi="Times New Roman" w:cs="Times New Roman"/>
              </w:rPr>
            </w:pPr>
            <w:r w:rsidRPr="00F66630">
              <w:rPr>
                <w:rFonts w:ascii="Times New Roman" w:hAnsi="Times New Roman" w:cs="Times New Roman"/>
              </w:rPr>
              <w:t xml:space="preserve">The assessment should include feedback for each state to identify the gaps of the SDSAR vis-à-vis the detailed definitions.  </w:t>
            </w:r>
          </w:p>
          <w:p w14:paraId="2BAE00ED" w14:textId="77777777" w:rsidR="003B5D9F" w:rsidRPr="00F66630" w:rsidRDefault="003B5D9F" w:rsidP="00631E23">
            <w:pPr>
              <w:pStyle w:val="ListParagraph"/>
              <w:numPr>
                <w:ilvl w:val="0"/>
                <w:numId w:val="121"/>
              </w:numPr>
              <w:shd w:val="clear" w:color="auto" w:fill="FFFFFF" w:themeFill="background1"/>
              <w:ind w:left="427"/>
              <w:rPr>
                <w:rFonts w:ascii="Times New Roman" w:hAnsi="Times New Roman" w:cs="Times New Roman"/>
              </w:rPr>
            </w:pPr>
            <w:r w:rsidRPr="00F66630">
              <w:rPr>
                <w:rFonts w:ascii="Times New Roman" w:hAnsi="Times New Roman" w:cs="Times New Roman"/>
              </w:rPr>
              <w:t xml:space="preserve">Submit the assessment report of the </w:t>
            </w:r>
            <w:r w:rsidRPr="00631E23">
              <w:rPr>
                <w:rFonts w:ascii="Times New Roman" w:hAnsi="Times New Roman" w:cs="Times New Roman"/>
                <w:shd w:val="clear" w:color="auto" w:fill="FFFFFF" w:themeFill="background1"/>
              </w:rPr>
              <w:t>SDSA-DMSR</w:t>
            </w:r>
            <w:r w:rsidRPr="00F66630">
              <w:rPr>
                <w:rFonts w:ascii="Times New Roman" w:hAnsi="Times New Roman" w:cs="Times New Roman"/>
              </w:rPr>
              <w:t xml:space="preserve"> to the IVA by 31 March 2022.</w:t>
            </w:r>
          </w:p>
          <w:p w14:paraId="4D665BB0" w14:textId="77777777" w:rsidR="003B5D9F" w:rsidRPr="00F66630" w:rsidRDefault="003B5D9F" w:rsidP="003B5D9F">
            <w:pPr>
              <w:rPr>
                <w:rFonts w:ascii="Times New Roman" w:hAnsi="Times New Roman" w:cs="Times New Roman"/>
              </w:rPr>
            </w:pPr>
          </w:p>
          <w:p w14:paraId="6AD855BD" w14:textId="77777777" w:rsidR="003B5D9F" w:rsidRPr="00F66630" w:rsidRDefault="003B5D9F" w:rsidP="003B5D9F">
            <w:pPr>
              <w:rPr>
                <w:rFonts w:ascii="Times New Roman" w:hAnsi="Times New Roman" w:cs="Times New Roman"/>
              </w:rPr>
            </w:pPr>
            <w:r w:rsidRPr="00F66630">
              <w:rPr>
                <w:rFonts w:ascii="Times New Roman" w:hAnsi="Times New Roman" w:cs="Times New Roman"/>
              </w:rPr>
              <w:t>The IVA will carry out the following:</w:t>
            </w:r>
          </w:p>
          <w:p w14:paraId="085E1598" w14:textId="77777777" w:rsidR="003B5D9F" w:rsidRPr="00F66630" w:rsidRDefault="003B5D9F" w:rsidP="003B5D9F">
            <w:pPr>
              <w:pStyle w:val="ListParagraph"/>
              <w:numPr>
                <w:ilvl w:val="0"/>
                <w:numId w:val="122"/>
              </w:numPr>
              <w:rPr>
                <w:rFonts w:ascii="Times New Roman" w:hAnsi="Times New Roman" w:cs="Times New Roman"/>
              </w:rPr>
            </w:pPr>
            <w:r w:rsidRPr="00F66630">
              <w:rPr>
                <w:rFonts w:ascii="Times New Roman" w:hAnsi="Times New Roman" w:cs="Times New Roman"/>
              </w:rPr>
              <w:t xml:space="preserve">Confirm the existence of the SDSA-DMSR on the state official website, confirm the </w:t>
            </w:r>
            <w:r w:rsidRPr="00631E23">
              <w:rPr>
                <w:rFonts w:ascii="Times New Roman" w:hAnsi="Times New Roman" w:cs="Times New Roman"/>
                <w:shd w:val="clear" w:color="auto" w:fill="FFFFFF" w:themeFill="background1"/>
              </w:rPr>
              <w:t>SDSA-DMSR</w:t>
            </w:r>
            <w:r w:rsidRPr="00F66630">
              <w:rPr>
                <w:rFonts w:ascii="Times New Roman" w:hAnsi="Times New Roman" w:cs="Times New Roman"/>
              </w:rPr>
              <w:t xml:space="preserve"> was published by 31 December 2021, and download a copy for validation.</w:t>
            </w:r>
          </w:p>
          <w:p w14:paraId="7DC27101" w14:textId="77777777" w:rsidR="003B5D9F" w:rsidRPr="00F66630" w:rsidRDefault="003B5D9F" w:rsidP="00631E23">
            <w:pPr>
              <w:pStyle w:val="ListParagraph"/>
              <w:numPr>
                <w:ilvl w:val="0"/>
                <w:numId w:val="122"/>
              </w:numPr>
              <w:shd w:val="clear" w:color="auto" w:fill="FFFFFF" w:themeFill="background1"/>
              <w:rPr>
                <w:rFonts w:ascii="Times New Roman" w:hAnsi="Times New Roman" w:cs="Times New Roman"/>
              </w:rPr>
            </w:pPr>
            <w:r w:rsidRPr="00F66630">
              <w:rPr>
                <w:rFonts w:ascii="Times New Roman" w:hAnsi="Times New Roman" w:cs="Times New Roman"/>
              </w:rPr>
              <w:t xml:space="preserve">Obtain the assessment report of the </w:t>
            </w:r>
            <w:r w:rsidRPr="00631E23">
              <w:rPr>
                <w:rFonts w:ascii="Times New Roman" w:hAnsi="Times New Roman" w:cs="Times New Roman"/>
                <w:shd w:val="clear" w:color="auto" w:fill="FFFFFF" w:themeFill="background1"/>
              </w:rPr>
              <w:t>SDSA-DMSR</w:t>
            </w:r>
            <w:r w:rsidRPr="00F66630">
              <w:rPr>
                <w:rFonts w:ascii="Times New Roman" w:hAnsi="Times New Roman" w:cs="Times New Roman"/>
              </w:rPr>
              <w:t xml:space="preserve"> from the DMO, along with all underlying data and supporting documents.</w:t>
            </w:r>
          </w:p>
          <w:p w14:paraId="5AC10EA9" w14:textId="7AE351B4" w:rsidR="003B5D9F" w:rsidRPr="00F66630" w:rsidRDefault="003B5D9F" w:rsidP="00631E23">
            <w:pPr>
              <w:pStyle w:val="ListParagraph"/>
              <w:numPr>
                <w:ilvl w:val="0"/>
                <w:numId w:val="122"/>
              </w:numPr>
              <w:shd w:val="clear" w:color="auto" w:fill="FFFFFF" w:themeFill="background1"/>
              <w:rPr>
                <w:rFonts w:ascii="Times New Roman" w:hAnsi="Times New Roman" w:cs="Times New Roman"/>
              </w:rPr>
            </w:pPr>
            <w:r w:rsidRPr="00F66630">
              <w:rPr>
                <w:rFonts w:ascii="Times New Roman" w:hAnsi="Times New Roman" w:cs="Times New Roman"/>
              </w:rPr>
              <w:t xml:space="preserve">Review the assessment report of the </w:t>
            </w:r>
            <w:r w:rsidRPr="00631E23">
              <w:rPr>
                <w:rFonts w:ascii="Times New Roman" w:hAnsi="Times New Roman" w:cs="Times New Roman"/>
                <w:shd w:val="clear" w:color="auto" w:fill="FFFFFF" w:themeFill="background1"/>
              </w:rPr>
              <w:t>SDSA-DMSR</w:t>
            </w:r>
            <w:r w:rsidRPr="00F66630">
              <w:rPr>
                <w:rFonts w:ascii="Times New Roman" w:hAnsi="Times New Roman" w:cs="Times New Roman"/>
              </w:rPr>
              <w:t xml:space="preserve"> from the DMO, re-perform checks as necessary, perform additional checks wherever the assessment report from the DMO is unavailable, and conclude on each annual </w:t>
            </w:r>
            <w:r w:rsidRPr="00631E23">
              <w:rPr>
                <w:rFonts w:ascii="Times New Roman" w:hAnsi="Times New Roman" w:cs="Times New Roman"/>
                <w:shd w:val="clear" w:color="auto" w:fill="FFFFFF" w:themeFill="background1"/>
              </w:rPr>
              <w:t>SDSA-DMSR.</w:t>
            </w:r>
          </w:p>
        </w:tc>
      </w:tr>
    </w:tbl>
    <w:p w14:paraId="60C94362" w14:textId="5A86A538" w:rsidR="00AF01BD" w:rsidRPr="00F66630" w:rsidRDefault="00AF01BD" w:rsidP="00213F3A">
      <w:pPr>
        <w:rPr>
          <w:rFonts w:ascii="Times New Roman" w:eastAsia="Times New Roman" w:hAnsi="Times New Roman" w:cs="Times New Roman"/>
          <w:b/>
          <w:spacing w:val="4"/>
          <w:sz w:val="20"/>
          <w:szCs w:val="20"/>
        </w:rPr>
      </w:pPr>
    </w:p>
    <w:p w14:paraId="5270B4E1" w14:textId="77777777" w:rsidR="00406AD8" w:rsidRPr="00F66630" w:rsidRDefault="00C34470">
      <w:bookmarkStart w:id="30" w:name="_Hlk524618926"/>
      <w:r w:rsidRPr="00F66630">
        <w:rPr>
          <w:b/>
          <w:bCs/>
        </w:rPr>
        <w:br w:type="page"/>
      </w:r>
    </w:p>
    <w:tbl>
      <w:tblPr>
        <w:tblStyle w:val="TableGrid"/>
        <w:tblW w:w="5315" w:type="pct"/>
        <w:tblLook w:val="04A0" w:firstRow="1" w:lastRow="0" w:firstColumn="1" w:lastColumn="0" w:noHBand="0" w:noVBand="1"/>
      </w:tblPr>
      <w:tblGrid>
        <w:gridCol w:w="2690"/>
        <w:gridCol w:w="11076"/>
      </w:tblGrid>
      <w:tr w:rsidR="00BF16B9" w:rsidRPr="00F66630" w14:paraId="221035AA" w14:textId="77777777" w:rsidTr="00406AD8">
        <w:trPr>
          <w:trHeight w:val="368"/>
        </w:trPr>
        <w:tc>
          <w:tcPr>
            <w:tcW w:w="5000" w:type="pct"/>
            <w:gridSpan w:val="2"/>
            <w:shd w:val="clear" w:color="auto" w:fill="EAF1DD" w:themeFill="accent3" w:themeFillTint="33"/>
          </w:tcPr>
          <w:p w14:paraId="333F64F1" w14:textId="3FF85167" w:rsidR="00BF16B9" w:rsidRPr="00F66630" w:rsidRDefault="00BB1303" w:rsidP="00871362">
            <w:pPr>
              <w:pStyle w:val="Heading3"/>
              <w:numPr>
                <w:ilvl w:val="0"/>
                <w:numId w:val="0"/>
              </w:numPr>
              <w:outlineLvl w:val="2"/>
              <w:rPr>
                <w:rFonts w:ascii="Times New Roman Bold" w:eastAsia="Calibri" w:hAnsi="Times New Roman Bold"/>
                <w:sz w:val="22"/>
                <w:szCs w:val="22"/>
              </w:rPr>
            </w:pPr>
            <w:r w:rsidRPr="00F66630">
              <w:rPr>
                <w:sz w:val="22"/>
                <w:szCs w:val="22"/>
              </w:rPr>
              <w:lastRenderedPageBreak/>
              <w:br w:type="page"/>
            </w:r>
            <w:bookmarkStart w:id="31" w:name="_Toc107345854"/>
            <w:r w:rsidRPr="00F66630">
              <w:rPr>
                <w:sz w:val="22"/>
                <w:szCs w:val="22"/>
              </w:rPr>
              <w:t xml:space="preserve">ORIGINAL </w:t>
            </w:r>
            <w:r w:rsidR="00BF16B9" w:rsidRPr="00F66630">
              <w:rPr>
                <w:rFonts w:ascii="Times New Roman Bold" w:eastAsia="Calibri" w:hAnsi="Times New Roman Bold"/>
                <w:sz w:val="22"/>
                <w:szCs w:val="22"/>
              </w:rPr>
              <w:t>DLI 8: Improved clearance/reduction of stock of domestic expenditure arrears</w:t>
            </w:r>
            <w:bookmarkEnd w:id="31"/>
          </w:p>
        </w:tc>
      </w:tr>
      <w:tr w:rsidR="00BF16B9" w:rsidRPr="00F66630" w14:paraId="525DF9C0" w14:textId="77777777" w:rsidTr="00406AD8">
        <w:trPr>
          <w:trHeight w:val="470"/>
        </w:trPr>
        <w:tc>
          <w:tcPr>
            <w:tcW w:w="977" w:type="pct"/>
            <w:shd w:val="clear" w:color="auto" w:fill="FDE9D9" w:themeFill="accent6" w:themeFillTint="33"/>
          </w:tcPr>
          <w:p w14:paraId="62E77281" w14:textId="77777777" w:rsidR="00BF16B9" w:rsidRPr="00F66630" w:rsidRDefault="00BF16B9" w:rsidP="00871362">
            <w:pPr>
              <w:rPr>
                <w:rFonts w:ascii="Times New Roman" w:hAnsi="Times New Roman" w:cs="Times New Roman"/>
                <w:b/>
                <w:i/>
              </w:rPr>
            </w:pPr>
            <w:bookmarkStart w:id="32" w:name="_Hlk524619195"/>
            <w:bookmarkEnd w:id="30"/>
            <w:r w:rsidRPr="00F66630">
              <w:rPr>
                <w:rFonts w:ascii="Times New Roman" w:hAnsi="Times New Roman" w:cs="Times New Roman"/>
                <w:b/>
                <w:i/>
              </w:rPr>
              <w:t>DLR description as per DLI Matrix</w:t>
            </w:r>
          </w:p>
        </w:tc>
        <w:tc>
          <w:tcPr>
            <w:tcW w:w="4023" w:type="pct"/>
            <w:shd w:val="clear" w:color="auto" w:fill="FDE9D9" w:themeFill="accent6" w:themeFillTint="33"/>
          </w:tcPr>
          <w:p w14:paraId="64209E18" w14:textId="77777777" w:rsidR="00BF16B9" w:rsidRPr="00F66630" w:rsidRDefault="00BF16B9" w:rsidP="00871362">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bookmarkEnd w:id="32"/>
      <w:tr w:rsidR="00BF16B9" w:rsidRPr="00F66630" w14:paraId="75F224C5" w14:textId="77777777" w:rsidTr="00406AD8">
        <w:tc>
          <w:tcPr>
            <w:tcW w:w="977" w:type="pct"/>
          </w:tcPr>
          <w:p w14:paraId="1F0B5504" w14:textId="7F955197" w:rsidR="009C62D8" w:rsidRPr="00F66630" w:rsidRDefault="00286D62" w:rsidP="00871362">
            <w:pPr>
              <w:rPr>
                <w:rFonts w:ascii="Times New Roman" w:hAnsi="Times New Roman" w:cs="Times New Roman"/>
                <w:b/>
                <w:bCs/>
              </w:rPr>
            </w:pPr>
            <w:r w:rsidRPr="00F66630">
              <w:rPr>
                <w:rFonts w:ascii="Times New Roman" w:hAnsi="Times New Roman" w:cs="Times New Roman"/>
                <w:b/>
                <w:bCs/>
              </w:rPr>
              <w:t>Year 2020</w:t>
            </w:r>
            <w:r w:rsidR="00852EFA" w:rsidRPr="00F66630">
              <w:rPr>
                <w:rFonts w:ascii="Times New Roman" w:hAnsi="Times New Roman" w:cs="Times New Roman"/>
                <w:b/>
                <w:bCs/>
              </w:rPr>
              <w:t xml:space="preserve"> DLR</w:t>
            </w:r>
          </w:p>
          <w:p w14:paraId="75B78A18" w14:textId="77777777" w:rsidR="00286D62" w:rsidRPr="00F66630" w:rsidRDefault="00286D62" w:rsidP="00871362">
            <w:pPr>
              <w:rPr>
                <w:rFonts w:ascii="Times New Roman" w:hAnsi="Times New Roman" w:cs="Times New Roman"/>
                <w:b/>
                <w:bCs/>
              </w:rPr>
            </w:pPr>
          </w:p>
          <w:p w14:paraId="10C94AC8" w14:textId="77777777" w:rsidR="009C62D8" w:rsidRPr="00F66630" w:rsidRDefault="009C62D8" w:rsidP="009C62D8">
            <w:pPr>
              <w:spacing w:after="120"/>
              <w:rPr>
                <w:rFonts w:ascii="Times New Roman" w:hAnsi="Times New Roman" w:cs="Times New Roman"/>
              </w:rPr>
            </w:pPr>
            <w:r w:rsidRPr="00F66630">
              <w:rPr>
                <w:rFonts w:ascii="Times New Roman" w:hAnsi="Times New Roman" w:cs="Times New Roman"/>
                <w:b/>
                <w:bCs/>
                <w:u w:val="single"/>
              </w:rPr>
              <w:t>Basic Target:</w:t>
            </w:r>
            <w:r w:rsidRPr="00F66630">
              <w:rPr>
                <w:rFonts w:ascii="Times New Roman" w:hAnsi="Times New Roman" w:cs="Times New Roman"/>
              </w:rPr>
              <w:t xml:space="preserve"> Domestic arrears as of end 2019 and end 2020 reported in an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database, with verification process in place. </w:t>
            </w:r>
          </w:p>
          <w:p w14:paraId="44AB9A47" w14:textId="77777777" w:rsidR="00F36F4B" w:rsidRPr="00F66630" w:rsidRDefault="009C62D8" w:rsidP="009C62D8">
            <w:pPr>
              <w:rPr>
                <w:rFonts w:ascii="Times New Roman" w:hAnsi="Times New Roman" w:cs="Times New Roman"/>
              </w:rPr>
            </w:pPr>
            <w:r w:rsidRPr="00F66630">
              <w:rPr>
                <w:rFonts w:ascii="Times New Roman" w:hAnsi="Times New Roman" w:cs="Times New Roman"/>
                <w:b/>
                <w:bCs/>
                <w:u w:val="single"/>
              </w:rPr>
              <w:t>Stretch Target:</w:t>
            </w:r>
            <w:r w:rsidRPr="00F66630">
              <w:rPr>
                <w:rFonts w:ascii="Times New Roman" w:hAnsi="Times New Roman" w:cs="Times New Roman"/>
              </w:rPr>
              <w:t xml:space="preserve"> Domestic arrears as of end 2019 and end 2020 reported in an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database, with verification process in place </w:t>
            </w:r>
          </w:p>
          <w:p w14:paraId="33E21E2B" w14:textId="6B0B3A41" w:rsidR="00BF16B9" w:rsidRPr="00F66630" w:rsidRDefault="009C62D8" w:rsidP="009C62D8">
            <w:pPr>
              <w:rPr>
                <w:rFonts w:ascii="Times New Roman" w:hAnsi="Times New Roman" w:cs="Times New Roman"/>
              </w:rPr>
            </w:pPr>
            <w:r w:rsidRPr="00F66630">
              <w:rPr>
                <w:rFonts w:ascii="Times New Roman" w:hAnsi="Times New Roman" w:cs="Times New Roman"/>
              </w:rPr>
              <w:t>AND at least a 5 percent decline in the verified stock of domestic arrears at end 2020 compared to end 2019 consistent with the state’s arrears clearance framework or maintain stock below 5 billion.</w:t>
            </w:r>
            <w:r w:rsidR="00BF16B9" w:rsidRPr="00F66630">
              <w:rPr>
                <w:rFonts w:ascii="Times New Roman" w:hAnsi="Times New Roman" w:cs="Times New Roman"/>
              </w:rPr>
              <w:t xml:space="preserve">                   </w:t>
            </w:r>
          </w:p>
          <w:p w14:paraId="7BFAAA36" w14:textId="4EC1651A" w:rsidR="00BF16B9" w:rsidRPr="00F66630" w:rsidRDefault="00BF16B9" w:rsidP="00871362">
            <w:pPr>
              <w:rPr>
                <w:rFonts w:ascii="Times New Roman" w:eastAsia="Times New Roman" w:hAnsi="Times New Roman" w:cs="Times New Roman"/>
                <w:bCs/>
                <w:color w:val="000000"/>
              </w:rPr>
            </w:pPr>
          </w:p>
          <w:p w14:paraId="6C50777A" w14:textId="77777777" w:rsidR="00232FE6" w:rsidRPr="00F66630" w:rsidRDefault="00232FE6" w:rsidP="00871362">
            <w:pPr>
              <w:rPr>
                <w:rFonts w:ascii="Times New Roman" w:eastAsia="Times New Roman" w:hAnsi="Times New Roman" w:cs="Times New Roman"/>
                <w:bCs/>
                <w:color w:val="000000"/>
              </w:rPr>
            </w:pPr>
          </w:p>
          <w:p w14:paraId="51C150D8" w14:textId="77777777" w:rsidR="00232FE6" w:rsidRPr="00F66630" w:rsidRDefault="00232FE6" w:rsidP="00871362">
            <w:pPr>
              <w:rPr>
                <w:rFonts w:ascii="Times New Roman" w:eastAsia="Times New Roman" w:hAnsi="Times New Roman" w:cs="Times New Roman"/>
                <w:b/>
                <w:color w:val="000000"/>
              </w:rPr>
            </w:pPr>
          </w:p>
          <w:p w14:paraId="49AAF080" w14:textId="77777777" w:rsidR="00232FE6" w:rsidRPr="00F66630" w:rsidRDefault="00232FE6" w:rsidP="00871362">
            <w:pPr>
              <w:rPr>
                <w:rFonts w:ascii="Times New Roman" w:eastAsia="Times New Roman" w:hAnsi="Times New Roman" w:cs="Times New Roman"/>
                <w:b/>
                <w:color w:val="000000"/>
              </w:rPr>
            </w:pPr>
          </w:p>
          <w:p w14:paraId="51E01B53" w14:textId="77777777" w:rsidR="00232FE6" w:rsidRPr="00F66630" w:rsidRDefault="00232FE6" w:rsidP="00871362">
            <w:pPr>
              <w:rPr>
                <w:rFonts w:ascii="Times New Roman" w:eastAsia="Times New Roman" w:hAnsi="Times New Roman" w:cs="Times New Roman"/>
                <w:b/>
                <w:color w:val="000000"/>
              </w:rPr>
            </w:pPr>
          </w:p>
          <w:p w14:paraId="198F123F" w14:textId="77777777" w:rsidR="00232FE6" w:rsidRPr="00F66630" w:rsidRDefault="00232FE6" w:rsidP="00871362">
            <w:pPr>
              <w:rPr>
                <w:rFonts w:ascii="Times New Roman" w:eastAsia="Times New Roman" w:hAnsi="Times New Roman" w:cs="Times New Roman"/>
                <w:b/>
                <w:color w:val="000000"/>
              </w:rPr>
            </w:pPr>
          </w:p>
          <w:p w14:paraId="5B2B56CF" w14:textId="77777777" w:rsidR="00232FE6" w:rsidRPr="00F66630" w:rsidRDefault="00232FE6" w:rsidP="00871362">
            <w:pPr>
              <w:rPr>
                <w:rFonts w:ascii="Times New Roman" w:eastAsia="Times New Roman" w:hAnsi="Times New Roman" w:cs="Times New Roman"/>
                <w:b/>
                <w:color w:val="000000"/>
              </w:rPr>
            </w:pPr>
          </w:p>
          <w:p w14:paraId="3D34DC6E" w14:textId="77777777" w:rsidR="00232FE6" w:rsidRPr="00F66630" w:rsidRDefault="00232FE6" w:rsidP="00871362">
            <w:pPr>
              <w:rPr>
                <w:rFonts w:ascii="Times New Roman" w:eastAsia="Times New Roman" w:hAnsi="Times New Roman" w:cs="Times New Roman"/>
                <w:b/>
                <w:color w:val="000000"/>
              </w:rPr>
            </w:pPr>
          </w:p>
          <w:p w14:paraId="095DFBA3" w14:textId="77777777" w:rsidR="00232FE6" w:rsidRPr="00F66630" w:rsidRDefault="00232FE6" w:rsidP="00871362">
            <w:pPr>
              <w:rPr>
                <w:rFonts w:ascii="Times New Roman" w:eastAsia="Times New Roman" w:hAnsi="Times New Roman" w:cs="Times New Roman"/>
                <w:b/>
                <w:color w:val="000000"/>
              </w:rPr>
            </w:pPr>
          </w:p>
          <w:p w14:paraId="0663AE73" w14:textId="2FF94878" w:rsidR="00B70AFD" w:rsidRPr="00F66630" w:rsidRDefault="00B70AFD" w:rsidP="00871362">
            <w:pPr>
              <w:rPr>
                <w:rFonts w:ascii="Times New Roman" w:eastAsia="Times New Roman" w:hAnsi="Times New Roman" w:cs="Times New Roman"/>
                <w:b/>
                <w:color w:val="000000"/>
              </w:rPr>
            </w:pPr>
            <w:r w:rsidRPr="00F66630">
              <w:rPr>
                <w:rFonts w:ascii="Times New Roman" w:eastAsia="Times New Roman" w:hAnsi="Times New Roman" w:cs="Times New Roman"/>
                <w:b/>
                <w:color w:val="000000"/>
              </w:rPr>
              <w:lastRenderedPageBreak/>
              <w:t>Year 2021</w:t>
            </w:r>
            <w:r w:rsidR="00852EFA" w:rsidRPr="00F66630">
              <w:rPr>
                <w:rFonts w:ascii="Times New Roman" w:eastAsia="Times New Roman" w:hAnsi="Times New Roman" w:cs="Times New Roman"/>
                <w:b/>
                <w:color w:val="000000"/>
              </w:rPr>
              <w:t xml:space="preserve"> DLR</w:t>
            </w:r>
          </w:p>
          <w:p w14:paraId="023AEAB1" w14:textId="77777777" w:rsidR="00406AD8" w:rsidRPr="00F66630" w:rsidRDefault="00406AD8" w:rsidP="00B70AFD">
            <w:pPr>
              <w:spacing w:after="120"/>
              <w:rPr>
                <w:rFonts w:ascii="Times New Roman" w:hAnsi="Times New Roman" w:cs="Times New Roman"/>
              </w:rPr>
            </w:pPr>
          </w:p>
          <w:p w14:paraId="3F6007AF" w14:textId="3027CEF2" w:rsidR="00B70AFD" w:rsidRPr="00F66630" w:rsidRDefault="00B70AFD" w:rsidP="00B70AFD">
            <w:pPr>
              <w:spacing w:after="120"/>
              <w:rPr>
                <w:rFonts w:ascii="Times New Roman" w:hAnsi="Times New Roman" w:cs="Times New Roman"/>
              </w:rPr>
            </w:pPr>
            <w:r w:rsidRPr="00F66630">
              <w:rPr>
                <w:rFonts w:ascii="Times New Roman" w:hAnsi="Times New Roman" w:cs="Times New Roman"/>
              </w:rPr>
              <w:t xml:space="preserve">Domestic arrears as of end 2020 and end 2021 reported in an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database, with verification process in place.</w:t>
            </w:r>
          </w:p>
          <w:p w14:paraId="699BCAA9" w14:textId="039CB7FD" w:rsidR="00F36F4B" w:rsidRPr="00F66630" w:rsidRDefault="00B70AFD" w:rsidP="00B70AFD">
            <w:pPr>
              <w:rPr>
                <w:rFonts w:ascii="Times New Roman" w:hAnsi="Times New Roman" w:cs="Times New Roman"/>
              </w:rPr>
            </w:pPr>
            <w:r w:rsidRPr="00F66630">
              <w:rPr>
                <w:rFonts w:ascii="Times New Roman" w:hAnsi="Times New Roman" w:cs="Times New Roman"/>
              </w:rPr>
              <w:t>AND</w:t>
            </w:r>
          </w:p>
          <w:p w14:paraId="2E4B22A7" w14:textId="77777777" w:rsidR="00944C47" w:rsidRPr="00F66630" w:rsidRDefault="00944C47" w:rsidP="00B70AFD">
            <w:pPr>
              <w:rPr>
                <w:rFonts w:ascii="Times New Roman" w:hAnsi="Times New Roman" w:cs="Times New Roman"/>
              </w:rPr>
            </w:pPr>
          </w:p>
          <w:p w14:paraId="249A46BA" w14:textId="77777777" w:rsidR="00B70AFD" w:rsidRPr="00F66630" w:rsidRDefault="00B70AFD" w:rsidP="00B70AFD">
            <w:pPr>
              <w:rPr>
                <w:rFonts w:ascii="Times New Roman" w:hAnsi="Times New Roman" w:cs="Times New Roman"/>
              </w:rPr>
            </w:pPr>
            <w:r w:rsidRPr="00F66630">
              <w:rPr>
                <w:rFonts w:ascii="Times New Roman" w:hAnsi="Times New Roman" w:cs="Times New Roman"/>
              </w:rPr>
              <w:t xml:space="preserve">Percentage decline in the verified stock of domestic arrears at end 2021 compared to end 2020 meets target and is consistent with the state’s arrears clearance framework.         </w:t>
            </w:r>
          </w:p>
          <w:p w14:paraId="4D4E2FB0" w14:textId="77777777" w:rsidR="00406AD8" w:rsidRPr="00F66630" w:rsidRDefault="00406AD8" w:rsidP="00B70AFD">
            <w:pPr>
              <w:rPr>
                <w:rFonts w:ascii="Times New Roman" w:hAnsi="Times New Roman" w:cs="Times New Roman"/>
                <w:b/>
                <w:u w:val="single"/>
              </w:rPr>
            </w:pPr>
          </w:p>
          <w:p w14:paraId="75D0C9D7" w14:textId="65DC3E48" w:rsidR="00406AD8" w:rsidRPr="00F66630" w:rsidRDefault="00B70AFD" w:rsidP="00B70AFD">
            <w:pPr>
              <w:rPr>
                <w:rFonts w:ascii="Times New Roman" w:hAnsi="Times New Roman" w:cs="Times New Roman"/>
                <w:b/>
                <w:u w:val="single"/>
              </w:rPr>
            </w:pPr>
            <w:r w:rsidRPr="00F66630">
              <w:rPr>
                <w:rFonts w:ascii="Times New Roman" w:hAnsi="Times New Roman" w:cs="Times New Roman"/>
                <w:b/>
                <w:u w:val="single"/>
              </w:rPr>
              <w:t>Basic target:</w:t>
            </w:r>
            <w:r w:rsidRPr="00F66630">
              <w:rPr>
                <w:rFonts w:ascii="Times New Roman" w:hAnsi="Times New Roman" w:cs="Times New Roman"/>
              </w:rPr>
              <w:t xml:space="preserve"> At least a 5 percent decline or maintain stock below 5 billion naira</w:t>
            </w:r>
            <w:r w:rsidRPr="00F66630">
              <w:rPr>
                <w:rFonts w:ascii="Times New Roman" w:hAnsi="Times New Roman" w:cs="Times New Roman"/>
              </w:rPr>
              <w:br/>
            </w:r>
          </w:p>
          <w:p w14:paraId="04AC1404" w14:textId="09935FD9" w:rsidR="009C62D8" w:rsidRPr="00F66630" w:rsidRDefault="00B70AFD" w:rsidP="00B70AFD">
            <w:pPr>
              <w:rPr>
                <w:rFonts w:ascii="Times New Roman" w:eastAsia="Times New Roman" w:hAnsi="Times New Roman" w:cs="Times New Roman"/>
                <w:bCs/>
                <w:color w:val="000000"/>
              </w:rPr>
            </w:pPr>
            <w:r w:rsidRPr="00F66630">
              <w:rPr>
                <w:rFonts w:ascii="Times New Roman" w:hAnsi="Times New Roman" w:cs="Times New Roman"/>
                <w:b/>
                <w:u w:val="single"/>
              </w:rPr>
              <w:t>Stretch target:</w:t>
            </w:r>
            <w:r w:rsidRPr="00F66630">
              <w:rPr>
                <w:rFonts w:ascii="Times New Roman" w:hAnsi="Times New Roman" w:cs="Times New Roman"/>
              </w:rPr>
              <w:t xml:space="preserve"> More than 20 percent decline</w:t>
            </w:r>
          </w:p>
        </w:tc>
        <w:tc>
          <w:tcPr>
            <w:tcW w:w="4023" w:type="pct"/>
          </w:tcPr>
          <w:p w14:paraId="0C7CF17F" w14:textId="10DD6F01" w:rsidR="00BF16B9" w:rsidRPr="00F66630" w:rsidRDefault="00406AD8" w:rsidP="00871362">
            <w:pPr>
              <w:rPr>
                <w:rFonts w:ascii="Times New Roman" w:hAnsi="Times New Roman" w:cs="Times New Roman"/>
              </w:rPr>
            </w:pPr>
            <w:r w:rsidRPr="00F66630">
              <w:rPr>
                <w:rFonts w:ascii="Times New Roman" w:hAnsi="Times New Roman" w:cs="Times New Roman"/>
              </w:rPr>
              <w:lastRenderedPageBreak/>
              <w:t>D</w:t>
            </w:r>
            <w:r w:rsidR="00BF16B9" w:rsidRPr="00F66630">
              <w:rPr>
                <w:rFonts w:ascii="Times New Roman" w:hAnsi="Times New Roman" w:cs="Times New Roman"/>
              </w:rPr>
              <w:t>efinition of domestic expenditure arrears:</w:t>
            </w:r>
            <w:r w:rsidRPr="00F66630">
              <w:rPr>
                <w:rFonts w:ascii="Times New Roman" w:hAnsi="Times New Roman" w:cs="Times New Roman"/>
              </w:rPr>
              <w:t xml:space="preserve"> </w:t>
            </w:r>
            <w:r w:rsidR="00BF16B9" w:rsidRPr="00F66630">
              <w:rPr>
                <w:rFonts w:ascii="Times New Roman" w:hAnsi="Times New Roman" w:cs="Times New Roman"/>
                <w:i/>
              </w:rPr>
              <w:t>Domestic expenditure arrears are financial obligations that have been incurred for which payments have not been made by the due date. The main categories of expenditure arrears are as follows: contractors´ arrears; pension and gratuity arrears; and salary arrears. There are other types of domestic arrears which are possibly of lesser magnitude depending on each state. States are encouraged to be exhaustive in their identification, recording and management of all the types of domestic arrears.</w:t>
            </w:r>
          </w:p>
          <w:p w14:paraId="30494338" w14:textId="77777777" w:rsidR="00BF16B9" w:rsidRPr="00F66630" w:rsidRDefault="00BF16B9" w:rsidP="00871362">
            <w:pPr>
              <w:rPr>
                <w:rFonts w:ascii="Times New Roman" w:hAnsi="Times New Roman" w:cs="Times New Roman"/>
                <w:i/>
              </w:rPr>
            </w:pPr>
          </w:p>
          <w:p w14:paraId="05A48A06" w14:textId="5E80C1B1" w:rsidR="00BF16B9" w:rsidRPr="00F66630" w:rsidRDefault="00BF16B9" w:rsidP="00871362">
            <w:pPr>
              <w:rPr>
                <w:rFonts w:ascii="Times New Roman" w:hAnsi="Times New Roman" w:cs="Times New Roman"/>
              </w:rPr>
            </w:pPr>
            <w:r w:rsidRPr="00F66630">
              <w:rPr>
                <w:rFonts w:ascii="Times New Roman" w:hAnsi="Times New Roman" w:cs="Times New Roman"/>
              </w:rPr>
              <w:t xml:space="preserve">To achieve the DLR, the following </w:t>
            </w:r>
            <w:r w:rsidR="00974D87" w:rsidRPr="00F66630">
              <w:rPr>
                <w:rFonts w:ascii="Times New Roman" w:hAnsi="Times New Roman" w:cs="Times New Roman"/>
              </w:rPr>
              <w:t xml:space="preserve">requirements </w:t>
            </w:r>
            <w:proofErr w:type="gramStart"/>
            <w:r w:rsidR="00974D87" w:rsidRPr="00F66630">
              <w:rPr>
                <w:rFonts w:ascii="Times New Roman" w:hAnsi="Times New Roman" w:cs="Times New Roman"/>
              </w:rPr>
              <w:t xml:space="preserve">have </w:t>
            </w:r>
            <w:r w:rsidRPr="00F66630">
              <w:rPr>
                <w:rFonts w:ascii="Times New Roman" w:hAnsi="Times New Roman" w:cs="Times New Roman"/>
              </w:rPr>
              <w:t>to</w:t>
            </w:r>
            <w:proofErr w:type="gramEnd"/>
            <w:r w:rsidRPr="00F66630">
              <w:rPr>
                <w:rFonts w:ascii="Times New Roman" w:hAnsi="Times New Roman" w:cs="Times New Roman"/>
              </w:rPr>
              <w:t xml:space="preserve"> be met:</w:t>
            </w:r>
          </w:p>
          <w:p w14:paraId="144FB105" w14:textId="4AEDC9D8" w:rsidR="00BF16B9" w:rsidRPr="00F66630" w:rsidRDefault="00BF16B9" w:rsidP="00871362">
            <w:pPr>
              <w:rPr>
                <w:rFonts w:ascii="Times New Roman" w:hAnsi="Times New Roman" w:cs="Times New Roman"/>
              </w:rPr>
            </w:pPr>
          </w:p>
          <w:p w14:paraId="1F6546C0" w14:textId="222B87F0" w:rsidR="00921ED3" w:rsidRPr="00F66630" w:rsidRDefault="00921ED3" w:rsidP="00871362">
            <w:pPr>
              <w:rPr>
                <w:rFonts w:ascii="Times New Roman" w:hAnsi="Times New Roman" w:cs="Times New Roman"/>
                <w:i/>
                <w:iCs/>
              </w:rPr>
            </w:pPr>
            <w:r w:rsidRPr="00F66630">
              <w:rPr>
                <w:rFonts w:ascii="Times New Roman" w:hAnsi="Times New Roman" w:cs="Times New Roman"/>
                <w:i/>
                <w:iCs/>
              </w:rPr>
              <w:t xml:space="preserve">For </w:t>
            </w:r>
            <w:r w:rsidR="003E538D" w:rsidRPr="00F66630">
              <w:rPr>
                <w:rFonts w:ascii="Times New Roman" w:hAnsi="Times New Roman" w:cs="Times New Roman"/>
                <w:i/>
                <w:iCs/>
              </w:rPr>
              <w:t>all results (</w:t>
            </w:r>
            <w:r w:rsidRPr="00F66630">
              <w:rPr>
                <w:rFonts w:ascii="Times New Roman" w:hAnsi="Times New Roman" w:cs="Times New Roman"/>
                <w:i/>
                <w:iCs/>
              </w:rPr>
              <w:t>basic and stretch targets</w:t>
            </w:r>
            <w:r w:rsidR="003E538D" w:rsidRPr="00F66630">
              <w:rPr>
                <w:rFonts w:ascii="Times New Roman" w:hAnsi="Times New Roman" w:cs="Times New Roman"/>
                <w:i/>
                <w:iCs/>
              </w:rPr>
              <w:t>)</w:t>
            </w:r>
            <w:r w:rsidRPr="00F66630">
              <w:rPr>
                <w:rFonts w:ascii="Times New Roman" w:hAnsi="Times New Roman" w:cs="Times New Roman"/>
                <w:i/>
                <w:iCs/>
              </w:rPr>
              <w:t xml:space="preserve"> in 2020 and 2021</w:t>
            </w:r>
          </w:p>
          <w:p w14:paraId="25D47B52" w14:textId="0C939ABD" w:rsidR="003C0CA4" w:rsidRPr="00F66630" w:rsidRDefault="00BF16B9" w:rsidP="00871362">
            <w:pPr>
              <w:rPr>
                <w:rFonts w:ascii="Times New Roman" w:hAnsi="Times New Roman" w:cs="Times New Roman"/>
              </w:rPr>
            </w:pPr>
            <w:r w:rsidRPr="00F66630">
              <w:rPr>
                <w:rFonts w:ascii="Times New Roman" w:hAnsi="Times New Roman" w:cs="Times New Roman"/>
              </w:rPr>
              <w:t xml:space="preserve">(i) States have established </w:t>
            </w:r>
            <w:r w:rsidR="00D6290B" w:rsidRPr="00F66630">
              <w:rPr>
                <w:rFonts w:ascii="Times New Roman" w:hAnsi="Times New Roman" w:cs="Times New Roman"/>
              </w:rPr>
              <w:t xml:space="preserve">(meaning </w:t>
            </w:r>
            <w:r w:rsidR="00F058A3" w:rsidRPr="00F66630">
              <w:rPr>
                <w:rFonts w:ascii="Times New Roman" w:hAnsi="Times New Roman" w:cs="Times New Roman"/>
              </w:rPr>
              <w:t>approved by the appropriate authority</w:t>
            </w:r>
            <w:r w:rsidR="00D6290B" w:rsidRPr="00F66630">
              <w:rPr>
                <w:rFonts w:ascii="Times New Roman" w:hAnsi="Times New Roman" w:cs="Times New Roman"/>
              </w:rPr>
              <w:t>)</w:t>
            </w:r>
            <w:r w:rsidR="00F058A3" w:rsidRPr="00F66630" w:rsidDel="00C83506">
              <w:rPr>
                <w:rFonts w:ascii="Times New Roman" w:hAnsi="Times New Roman" w:cs="Times New Roman"/>
              </w:rPr>
              <w:t xml:space="preserve"> </w:t>
            </w:r>
            <w:r w:rsidR="00A13AEB" w:rsidRPr="00F66630">
              <w:rPr>
                <w:rFonts w:ascii="Times New Roman" w:hAnsi="Times New Roman" w:cs="Times New Roman"/>
              </w:rPr>
              <w:t xml:space="preserve">and published online </w:t>
            </w:r>
            <w:r w:rsidR="00F058A3" w:rsidRPr="00F66630">
              <w:rPr>
                <w:rFonts w:ascii="Times New Roman" w:hAnsi="Times New Roman" w:cs="Times New Roman"/>
              </w:rPr>
              <w:t xml:space="preserve">a </w:t>
            </w:r>
            <w:r w:rsidRPr="00F66630">
              <w:rPr>
                <w:rFonts w:ascii="Times New Roman" w:hAnsi="Times New Roman" w:cs="Times New Roman"/>
              </w:rPr>
              <w:t>domestic expenditure arrears clearance framework (ACF)</w:t>
            </w:r>
            <w:r w:rsidR="00295873" w:rsidRPr="00F66630">
              <w:rPr>
                <w:rFonts w:ascii="Times New Roman" w:hAnsi="Times New Roman" w:cs="Times New Roman"/>
              </w:rPr>
              <w:t xml:space="preserve"> by the </w:t>
            </w:r>
            <w:proofErr w:type="gramStart"/>
            <w:r w:rsidR="00295873" w:rsidRPr="00F66630">
              <w:rPr>
                <w:rFonts w:ascii="Times New Roman" w:hAnsi="Times New Roman" w:cs="Times New Roman"/>
              </w:rPr>
              <w:t>31</w:t>
            </w:r>
            <w:r w:rsidR="00295873" w:rsidRPr="00F66630">
              <w:rPr>
                <w:rFonts w:ascii="Times New Roman" w:hAnsi="Times New Roman" w:cs="Times New Roman"/>
                <w:vertAlign w:val="superscript"/>
              </w:rPr>
              <w:t>st</w:t>
            </w:r>
            <w:proofErr w:type="gramEnd"/>
            <w:r w:rsidR="00295873" w:rsidRPr="00F66630">
              <w:rPr>
                <w:rFonts w:ascii="Times New Roman" w:hAnsi="Times New Roman" w:cs="Times New Roman"/>
              </w:rPr>
              <w:t xml:space="preserve"> December 2020 for the 2020 result and 31</w:t>
            </w:r>
            <w:r w:rsidR="00295873" w:rsidRPr="00F66630">
              <w:rPr>
                <w:rFonts w:ascii="Times New Roman" w:hAnsi="Times New Roman" w:cs="Times New Roman"/>
                <w:vertAlign w:val="superscript"/>
              </w:rPr>
              <w:t>st</w:t>
            </w:r>
            <w:r w:rsidR="00295873" w:rsidRPr="00F66630">
              <w:rPr>
                <w:rFonts w:ascii="Times New Roman" w:hAnsi="Times New Roman" w:cs="Times New Roman"/>
              </w:rPr>
              <w:t xml:space="preserve"> March 2021 for the 2021 result:</w:t>
            </w:r>
            <w:r w:rsidRPr="00F66630">
              <w:rPr>
                <w:rFonts w:ascii="Times New Roman" w:hAnsi="Times New Roman" w:cs="Times New Roman"/>
              </w:rPr>
              <w:t xml:space="preserve"> </w:t>
            </w:r>
          </w:p>
          <w:p w14:paraId="7B6B92FA" w14:textId="77777777" w:rsidR="003C0CA4" w:rsidRPr="00F66630" w:rsidRDefault="00BF16B9" w:rsidP="00D6290B">
            <w:pPr>
              <w:pStyle w:val="ListParagraph"/>
              <w:numPr>
                <w:ilvl w:val="0"/>
                <w:numId w:val="88"/>
              </w:numPr>
              <w:rPr>
                <w:rFonts w:ascii="Times New Roman" w:hAnsi="Times New Roman" w:cs="Times New Roman"/>
              </w:rPr>
            </w:pPr>
            <w:r w:rsidRPr="00F66630">
              <w:rPr>
                <w:rFonts w:ascii="Times New Roman" w:hAnsi="Times New Roman" w:cs="Times New Roman"/>
              </w:rPr>
              <w:t xml:space="preserve">The ACF must contain: 1) the planned actions to settle domestic expenditure arrears; and 2) an explicit prioritization of domestic expenditure arrears to be settled. </w:t>
            </w:r>
          </w:p>
          <w:p w14:paraId="19B4EBC7" w14:textId="77777777" w:rsidR="00531D36" w:rsidRPr="00F66630" w:rsidRDefault="00BF16B9" w:rsidP="00D6290B">
            <w:pPr>
              <w:pStyle w:val="ListParagraph"/>
              <w:numPr>
                <w:ilvl w:val="0"/>
                <w:numId w:val="88"/>
              </w:numPr>
              <w:rPr>
                <w:rFonts w:ascii="Times New Roman" w:hAnsi="Times New Roman" w:cs="Times New Roman"/>
              </w:rPr>
            </w:pPr>
            <w:r w:rsidRPr="00F66630">
              <w:rPr>
                <w:rFonts w:ascii="Times New Roman" w:hAnsi="Times New Roman" w:cs="Times New Roman"/>
              </w:rPr>
              <w:t>The ACF must be published on a state official website.</w:t>
            </w:r>
          </w:p>
          <w:p w14:paraId="32C297DD" w14:textId="2B372636" w:rsidR="0012015A" w:rsidRPr="00F66630" w:rsidRDefault="003E538D" w:rsidP="00D6290B">
            <w:pPr>
              <w:pStyle w:val="ListParagraph"/>
              <w:numPr>
                <w:ilvl w:val="0"/>
                <w:numId w:val="88"/>
              </w:numPr>
              <w:rPr>
                <w:rFonts w:ascii="Times New Roman" w:hAnsi="Times New Roman" w:cs="Times New Roman"/>
              </w:rPr>
            </w:pPr>
            <w:r w:rsidRPr="00F66630">
              <w:rPr>
                <w:rFonts w:ascii="Times New Roman" w:hAnsi="Times New Roman" w:cs="Times New Roman"/>
              </w:rPr>
              <w:t xml:space="preserve">For the </w:t>
            </w:r>
            <w:r w:rsidR="0012015A" w:rsidRPr="00F66630">
              <w:rPr>
                <w:rFonts w:ascii="Times New Roman" w:hAnsi="Times New Roman" w:cs="Times New Roman"/>
              </w:rPr>
              <w:t xml:space="preserve">2020 result: The ACF to be established and published by </w:t>
            </w:r>
            <w:r w:rsidR="0012015A" w:rsidRPr="00F66630">
              <w:rPr>
                <w:rFonts w:ascii="Times New Roman" w:hAnsi="Times New Roman" w:cs="Times New Roman"/>
                <w:b/>
                <w:bCs/>
              </w:rPr>
              <w:t>31 Dec 2020</w:t>
            </w:r>
            <w:r w:rsidR="0012015A" w:rsidRPr="00F66630">
              <w:rPr>
                <w:rFonts w:ascii="Times New Roman" w:hAnsi="Times New Roman" w:cs="Times New Roman"/>
              </w:rPr>
              <w:t>. Arrears clearance in CY2020 would be expected to be consistent with the ACF after it is established</w:t>
            </w:r>
            <w:r w:rsidR="007E05EE" w:rsidRPr="00F66630">
              <w:rPr>
                <w:rFonts w:ascii="Times New Roman" w:hAnsi="Times New Roman" w:cs="Times New Roman"/>
              </w:rPr>
              <w:t xml:space="preserve"> e.g., if </w:t>
            </w:r>
            <w:r w:rsidR="0012015A" w:rsidRPr="00F66630">
              <w:rPr>
                <w:rFonts w:ascii="Times New Roman" w:hAnsi="Times New Roman" w:cs="Times New Roman"/>
              </w:rPr>
              <w:t xml:space="preserve">the ACF is only established at end of Dec 2020, its </w:t>
            </w:r>
            <w:r w:rsidR="007E05EE" w:rsidRPr="00F66630">
              <w:rPr>
                <w:rFonts w:ascii="Times New Roman" w:hAnsi="Times New Roman" w:cs="Times New Roman"/>
              </w:rPr>
              <w:t>implementation</w:t>
            </w:r>
            <w:r w:rsidR="0012015A" w:rsidRPr="00F66630">
              <w:rPr>
                <w:rFonts w:ascii="Times New Roman" w:hAnsi="Times New Roman" w:cs="Times New Roman"/>
              </w:rPr>
              <w:t xml:space="preserve"> would be expected to start Jan 2021 and </w:t>
            </w:r>
            <w:r w:rsidR="007E05EE" w:rsidRPr="00F66630">
              <w:rPr>
                <w:rFonts w:ascii="Times New Roman" w:hAnsi="Times New Roman" w:cs="Times New Roman"/>
              </w:rPr>
              <w:t xml:space="preserve">whether </w:t>
            </w:r>
            <w:r w:rsidR="00A3656F" w:rsidRPr="00F66630">
              <w:rPr>
                <w:rFonts w:ascii="Times New Roman" w:hAnsi="Times New Roman" w:cs="Times New Roman"/>
              </w:rPr>
              <w:t xml:space="preserve">arrears were settled </w:t>
            </w:r>
            <w:r w:rsidR="007E05EE" w:rsidRPr="00F66630">
              <w:rPr>
                <w:rFonts w:ascii="Times New Roman" w:hAnsi="Times New Roman" w:cs="Times New Roman"/>
              </w:rPr>
              <w:t xml:space="preserve">in accordance with the ACF will be </w:t>
            </w:r>
            <w:r w:rsidR="0012015A" w:rsidRPr="00F66630">
              <w:rPr>
                <w:rFonts w:ascii="Times New Roman" w:hAnsi="Times New Roman" w:cs="Times New Roman"/>
              </w:rPr>
              <w:t>assessed as part of the 202</w:t>
            </w:r>
            <w:r w:rsidR="007E05EE" w:rsidRPr="00F66630">
              <w:rPr>
                <w:rFonts w:ascii="Times New Roman" w:hAnsi="Times New Roman" w:cs="Times New Roman"/>
              </w:rPr>
              <w:t>1</w:t>
            </w:r>
            <w:r w:rsidR="0012015A" w:rsidRPr="00F66630">
              <w:rPr>
                <w:rFonts w:ascii="Times New Roman" w:hAnsi="Times New Roman" w:cs="Times New Roman"/>
              </w:rPr>
              <w:t xml:space="preserve"> DLR.</w:t>
            </w:r>
          </w:p>
          <w:p w14:paraId="1FF0B56F" w14:textId="24E58E5F" w:rsidR="0012015A" w:rsidRPr="00F66630" w:rsidRDefault="003E538D" w:rsidP="00D6290B">
            <w:pPr>
              <w:pStyle w:val="ListParagraph"/>
              <w:numPr>
                <w:ilvl w:val="0"/>
                <w:numId w:val="88"/>
              </w:numPr>
              <w:rPr>
                <w:rFonts w:ascii="Times New Roman" w:hAnsi="Times New Roman" w:cs="Times New Roman"/>
              </w:rPr>
            </w:pPr>
            <w:r w:rsidRPr="00F66630">
              <w:rPr>
                <w:rFonts w:ascii="Times New Roman" w:hAnsi="Times New Roman" w:cs="Times New Roman"/>
              </w:rPr>
              <w:t xml:space="preserve">For the </w:t>
            </w:r>
            <w:r w:rsidR="0012015A" w:rsidRPr="00F66630">
              <w:rPr>
                <w:rFonts w:ascii="Times New Roman" w:hAnsi="Times New Roman" w:cs="Times New Roman"/>
              </w:rPr>
              <w:t xml:space="preserve">2021 result: The ACF to be established and published </w:t>
            </w:r>
            <w:r w:rsidR="0012015A" w:rsidRPr="00F66630">
              <w:rPr>
                <w:rFonts w:ascii="Times New Roman" w:hAnsi="Times New Roman" w:cs="Times New Roman"/>
                <w:b/>
                <w:bCs/>
              </w:rPr>
              <w:t>by 3</w:t>
            </w:r>
            <w:r w:rsidR="00A6626C" w:rsidRPr="00F66630">
              <w:rPr>
                <w:rFonts w:ascii="Times New Roman" w:hAnsi="Times New Roman" w:cs="Times New Roman"/>
                <w:b/>
                <w:bCs/>
              </w:rPr>
              <w:t>0</w:t>
            </w:r>
            <w:r w:rsidR="0012015A" w:rsidRPr="00F66630">
              <w:rPr>
                <w:rFonts w:ascii="Times New Roman" w:hAnsi="Times New Roman" w:cs="Times New Roman"/>
                <w:b/>
                <w:bCs/>
              </w:rPr>
              <w:t xml:space="preserve"> </w:t>
            </w:r>
            <w:r w:rsidR="00A6626C" w:rsidRPr="00F66630">
              <w:rPr>
                <w:rFonts w:ascii="Times New Roman" w:hAnsi="Times New Roman" w:cs="Times New Roman"/>
                <w:b/>
                <w:bCs/>
              </w:rPr>
              <w:t xml:space="preserve">June </w:t>
            </w:r>
            <w:r w:rsidR="0012015A" w:rsidRPr="00F66630">
              <w:rPr>
                <w:rFonts w:ascii="Times New Roman" w:hAnsi="Times New Roman" w:cs="Times New Roman"/>
                <w:b/>
                <w:bCs/>
              </w:rPr>
              <w:t>2021</w:t>
            </w:r>
            <w:r w:rsidR="0012015A" w:rsidRPr="00F66630">
              <w:rPr>
                <w:rFonts w:ascii="Times New Roman" w:hAnsi="Times New Roman" w:cs="Times New Roman"/>
              </w:rPr>
              <w:t>. Arrears clearance in CY2021 would be expected to be consistent with the ACF after it is established.</w:t>
            </w:r>
          </w:p>
          <w:p w14:paraId="023259C5" w14:textId="77777777" w:rsidR="00C12B89" w:rsidRPr="00F66630" w:rsidRDefault="00C12B89" w:rsidP="00D6290B">
            <w:pPr>
              <w:pStyle w:val="ListParagraph"/>
              <w:numPr>
                <w:ilvl w:val="0"/>
                <w:numId w:val="88"/>
              </w:numPr>
              <w:rPr>
                <w:rFonts w:ascii="Times New Roman" w:hAnsi="Times New Roman" w:cs="Times New Roman"/>
              </w:rPr>
            </w:pPr>
            <w:r w:rsidRPr="00F66630">
              <w:rPr>
                <w:rFonts w:ascii="Times New Roman" w:eastAsia="Calibri" w:hAnsi="Times New Roman" w:cs="Times New Roman"/>
              </w:rPr>
              <w:t>Note: The ACF is not required to be updated each year once it is established unless the framework is subject to material changes. If the ACF is not updated and the clearance of arrears varies significantly with the ACF, this will be an issue for meeting requirement (iv).</w:t>
            </w:r>
          </w:p>
          <w:p w14:paraId="6CF6F345" w14:textId="77777777" w:rsidR="0012015A" w:rsidRPr="00F66630" w:rsidRDefault="0012015A" w:rsidP="003E538D">
            <w:pPr>
              <w:pStyle w:val="ListParagraph"/>
              <w:rPr>
                <w:rFonts w:ascii="Times New Roman" w:hAnsi="Times New Roman" w:cs="Times New Roman"/>
              </w:rPr>
            </w:pPr>
          </w:p>
          <w:p w14:paraId="28C1FA5D" w14:textId="1A5916C3" w:rsidR="003E538D" w:rsidRPr="00F66630" w:rsidRDefault="003E538D" w:rsidP="003E538D">
            <w:pPr>
              <w:rPr>
                <w:rFonts w:ascii="Times New Roman" w:hAnsi="Times New Roman" w:cs="Times New Roman"/>
                <w:i/>
                <w:iCs/>
              </w:rPr>
            </w:pPr>
            <w:r w:rsidRPr="00F66630">
              <w:rPr>
                <w:rFonts w:ascii="Times New Roman" w:hAnsi="Times New Roman" w:cs="Times New Roman"/>
                <w:i/>
                <w:iCs/>
              </w:rPr>
              <w:t>For all results (basic and stretch targets) in 2020 and 2021</w:t>
            </w:r>
            <w:r w:rsidR="00247C89" w:rsidRPr="00F66630">
              <w:rPr>
                <w:rFonts w:ascii="Times New Roman" w:hAnsi="Times New Roman" w:cs="Times New Roman"/>
                <w:i/>
                <w:iCs/>
              </w:rPr>
              <w:t>:</w:t>
            </w:r>
          </w:p>
          <w:p w14:paraId="0E158CDC" w14:textId="57F534D5" w:rsidR="00CD7FB0" w:rsidRPr="00F66630" w:rsidRDefault="00BF16B9" w:rsidP="003E538D">
            <w:pPr>
              <w:rPr>
                <w:rFonts w:ascii="Times New Roman" w:hAnsi="Times New Roman" w:cs="Times New Roman"/>
              </w:rPr>
            </w:pPr>
            <w:r w:rsidRPr="00F66630">
              <w:rPr>
                <w:rFonts w:ascii="Times New Roman" w:hAnsi="Times New Roman" w:cs="Times New Roman"/>
              </w:rPr>
              <w:t>(ii) States have established an internal domestic expenditure arrears database</w:t>
            </w:r>
            <w:r w:rsidR="003E538D" w:rsidRPr="00F66630">
              <w:rPr>
                <w:rFonts w:ascii="Times New Roman" w:hAnsi="Times New Roman" w:cs="Times New Roman"/>
              </w:rPr>
              <w:t xml:space="preserve"> by the </w:t>
            </w:r>
            <w:proofErr w:type="gramStart"/>
            <w:r w:rsidR="003E538D" w:rsidRPr="00F66630">
              <w:rPr>
                <w:rFonts w:ascii="Times New Roman" w:hAnsi="Times New Roman" w:cs="Times New Roman"/>
              </w:rPr>
              <w:t>31st</w:t>
            </w:r>
            <w:proofErr w:type="gramEnd"/>
            <w:r w:rsidR="003E538D" w:rsidRPr="00F66630">
              <w:rPr>
                <w:rFonts w:ascii="Times New Roman" w:hAnsi="Times New Roman" w:cs="Times New Roman"/>
              </w:rPr>
              <w:t xml:space="preserve"> December of the year under assessment</w:t>
            </w:r>
            <w:r w:rsidRPr="00F66630">
              <w:rPr>
                <w:rFonts w:ascii="Times New Roman" w:hAnsi="Times New Roman" w:cs="Times New Roman"/>
              </w:rPr>
              <w:t xml:space="preserve">. </w:t>
            </w:r>
          </w:p>
          <w:p w14:paraId="3D7AA917" w14:textId="60894B2B" w:rsidR="00BF16B9" w:rsidRPr="00F66630" w:rsidRDefault="00BF16B9" w:rsidP="00487CF4">
            <w:pPr>
              <w:pStyle w:val="ListParagraph"/>
              <w:numPr>
                <w:ilvl w:val="0"/>
                <w:numId w:val="8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 xml:space="preserve">The </w:t>
            </w:r>
            <w:r w:rsidRPr="00F66630">
              <w:rPr>
                <w:rFonts w:ascii="Times New Roman" w:hAnsi="Times New Roman" w:cs="Times New Roman"/>
              </w:rPr>
              <w:t xml:space="preserve">internal domestic expenditure arrears database </w:t>
            </w:r>
            <w:r w:rsidRPr="00F66630">
              <w:rPr>
                <w:rFonts w:ascii="Times New Roman" w:eastAsia="Times New Roman" w:hAnsi="Times New Roman" w:cs="Times New Roman"/>
                <w:bCs/>
                <w:color w:val="000000"/>
              </w:rPr>
              <w:t>must include the following information:</w:t>
            </w:r>
          </w:p>
          <w:p w14:paraId="25B5A475" w14:textId="610BA9BA" w:rsidR="00BF16B9" w:rsidRPr="00F66630" w:rsidRDefault="00BF16B9" w:rsidP="00487CF4">
            <w:pPr>
              <w:pStyle w:val="ListParagraph"/>
              <w:numPr>
                <w:ilvl w:val="0"/>
                <w:numId w:val="89"/>
              </w:numPr>
              <w:rPr>
                <w:rFonts w:ascii="Times New Roman" w:hAnsi="Times New Roman" w:cs="Times New Roman"/>
              </w:rPr>
            </w:pPr>
            <w:r w:rsidRPr="00F66630">
              <w:rPr>
                <w:rFonts w:ascii="Times New Roman" w:eastAsia="Times New Roman" w:hAnsi="Times New Roman" w:cs="Times New Roman"/>
                <w:bCs/>
                <w:color w:val="000000"/>
              </w:rPr>
              <w:t xml:space="preserve">The aggregate and individual amounts of contractors' arrears. For contractors' arrears, at a minimum, the </w:t>
            </w:r>
            <w:r w:rsidRPr="00F66630">
              <w:rPr>
                <w:rFonts w:ascii="Times New Roman" w:hAnsi="Times New Roman" w:cs="Times New Roman"/>
              </w:rPr>
              <w:t>internal domestic expenditure arrears database</w:t>
            </w:r>
            <w:r w:rsidRPr="00F66630">
              <w:rPr>
                <w:rFonts w:ascii="Times New Roman" w:eastAsia="Times New Roman" w:hAnsi="Times New Roman" w:cs="Times New Roman"/>
                <w:bCs/>
                <w:color w:val="000000"/>
              </w:rPr>
              <w:t xml:space="preserve"> must include the name of the contractor, the amount due at end-of-year, the nature of the goods and services procured that generated the claim, </w:t>
            </w:r>
            <w:r w:rsidR="00DC4356" w:rsidRPr="00F66630">
              <w:rPr>
                <w:rFonts w:ascii="Times New Roman" w:eastAsia="Times New Roman" w:hAnsi="Times New Roman" w:cs="Times New Roman"/>
                <w:bCs/>
                <w:color w:val="000000"/>
              </w:rPr>
              <w:t xml:space="preserve">the due date, </w:t>
            </w:r>
            <w:r w:rsidRPr="00F66630">
              <w:rPr>
                <w:rFonts w:ascii="Times New Roman" w:eastAsia="Times New Roman" w:hAnsi="Times New Roman" w:cs="Times New Roman"/>
                <w:bCs/>
                <w:color w:val="000000"/>
              </w:rPr>
              <w:t>and billing data (as applicable). The database shall show the total contractor</w:t>
            </w:r>
            <w:r w:rsidRPr="00F66630">
              <w:rPr>
                <w:rFonts w:ascii="Times New Roman" w:hAnsi="Times New Roman" w:cs="Times New Roman"/>
              </w:rPr>
              <w:t xml:space="preserve"> </w:t>
            </w:r>
            <w:r w:rsidRPr="00F66630">
              <w:rPr>
                <w:rFonts w:ascii="Times New Roman" w:eastAsia="Times New Roman" w:hAnsi="Times New Roman" w:cs="Times New Roman"/>
                <w:bCs/>
                <w:color w:val="000000"/>
              </w:rPr>
              <w:t>arrears stock at the end of each year.</w:t>
            </w:r>
          </w:p>
          <w:p w14:paraId="4472F2D2" w14:textId="25C68EB0" w:rsidR="00BF16B9" w:rsidRPr="00F66630" w:rsidRDefault="00BF16B9" w:rsidP="00487CF4">
            <w:pPr>
              <w:pStyle w:val="ListParagraph"/>
              <w:numPr>
                <w:ilvl w:val="0"/>
                <w:numId w:val="89"/>
              </w:numPr>
              <w:rPr>
                <w:rFonts w:ascii="Times New Roman" w:hAnsi="Times New Roman" w:cs="Times New Roman"/>
              </w:rPr>
            </w:pPr>
            <w:r w:rsidRPr="00F66630">
              <w:rPr>
                <w:rFonts w:ascii="Times New Roman" w:eastAsia="Times New Roman" w:hAnsi="Times New Roman" w:cs="Times New Roman"/>
                <w:bCs/>
                <w:color w:val="000000"/>
              </w:rPr>
              <w:lastRenderedPageBreak/>
              <w:t>The aggregate amount of pension and gratuity arrears</w:t>
            </w:r>
            <w:r w:rsidR="00055E92" w:rsidRPr="00F66630">
              <w:rPr>
                <w:rFonts w:ascii="Times New Roman" w:eastAsia="Times New Roman" w:hAnsi="Times New Roman" w:cs="Times New Roman"/>
                <w:bCs/>
                <w:color w:val="000000"/>
              </w:rPr>
              <w:t>, including the stock</w:t>
            </w:r>
            <w:r w:rsidR="005950E6" w:rsidRPr="00F66630">
              <w:rPr>
                <w:rFonts w:ascii="Times New Roman" w:eastAsia="Times New Roman" w:hAnsi="Times New Roman" w:cs="Times New Roman"/>
                <w:bCs/>
                <w:color w:val="000000"/>
              </w:rPr>
              <w:t xml:space="preserve"> at the end of each year</w:t>
            </w:r>
            <w:r w:rsidRPr="00F66630">
              <w:rPr>
                <w:rFonts w:ascii="Times New Roman" w:eastAsia="Times New Roman" w:hAnsi="Times New Roman" w:cs="Times New Roman"/>
                <w:bCs/>
                <w:color w:val="000000"/>
              </w:rPr>
              <w:t>.</w:t>
            </w:r>
          </w:p>
          <w:p w14:paraId="38B17F1B" w14:textId="3A3E8D66" w:rsidR="00BF16B9" w:rsidRPr="00F66630" w:rsidRDefault="00BF16B9" w:rsidP="00487CF4">
            <w:pPr>
              <w:pStyle w:val="ListParagraph"/>
              <w:numPr>
                <w:ilvl w:val="0"/>
                <w:numId w:val="8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The aggregate amount of salary arrears and other staff claims</w:t>
            </w:r>
            <w:r w:rsidR="00055E92" w:rsidRPr="00F66630">
              <w:rPr>
                <w:rFonts w:ascii="Times New Roman" w:eastAsia="Times New Roman" w:hAnsi="Times New Roman" w:cs="Times New Roman"/>
                <w:bCs/>
                <w:color w:val="000000"/>
              </w:rPr>
              <w:t>, including the stock at the end of each year</w:t>
            </w:r>
            <w:r w:rsidRPr="00F66630">
              <w:rPr>
                <w:rFonts w:ascii="Times New Roman" w:eastAsia="Times New Roman" w:hAnsi="Times New Roman" w:cs="Times New Roman"/>
                <w:bCs/>
                <w:color w:val="000000"/>
              </w:rPr>
              <w:t xml:space="preserve">. </w:t>
            </w:r>
            <w:r w:rsidR="00137B16" w:rsidRPr="00F66630">
              <w:rPr>
                <w:rFonts w:ascii="Times New Roman" w:eastAsia="Times New Roman" w:hAnsi="Times New Roman" w:cs="Times New Roman"/>
                <w:bCs/>
                <w:color w:val="000000"/>
              </w:rPr>
              <w:t xml:space="preserve">The balances in the database have been verified </w:t>
            </w:r>
            <w:r w:rsidR="00645E52" w:rsidRPr="00F66630">
              <w:rPr>
                <w:rFonts w:ascii="Times New Roman" w:eastAsia="Times New Roman" w:hAnsi="Times New Roman" w:cs="Times New Roman"/>
                <w:bCs/>
                <w:color w:val="000000"/>
              </w:rPr>
              <w:t xml:space="preserve">to ensure </w:t>
            </w:r>
            <w:r w:rsidR="00137B16" w:rsidRPr="00F66630">
              <w:rPr>
                <w:rFonts w:ascii="Times New Roman" w:eastAsia="Times New Roman" w:hAnsi="Times New Roman" w:cs="Times New Roman"/>
                <w:bCs/>
                <w:color w:val="000000"/>
              </w:rPr>
              <w:t>accuracy</w:t>
            </w:r>
            <w:r w:rsidR="00247C89" w:rsidRPr="00F66630">
              <w:rPr>
                <w:rFonts w:ascii="Times New Roman" w:eastAsia="Times New Roman" w:hAnsi="Times New Roman" w:cs="Times New Roman"/>
                <w:bCs/>
                <w:color w:val="000000"/>
              </w:rPr>
              <w:t>.</w:t>
            </w:r>
            <w:r w:rsidR="00685EA3" w:rsidRPr="00F66630">
              <w:rPr>
                <w:rFonts w:ascii="Times New Roman" w:eastAsia="Times New Roman" w:hAnsi="Times New Roman" w:cs="Times New Roman"/>
                <w:bCs/>
                <w:color w:val="000000"/>
              </w:rPr>
              <w:t xml:space="preserve"> </w:t>
            </w:r>
          </w:p>
          <w:p w14:paraId="5DA7B53B" w14:textId="54B75937" w:rsidR="00CD7FB0" w:rsidRPr="00F66630" w:rsidRDefault="00CD7FB0" w:rsidP="00CD7FB0">
            <w:pPr>
              <w:rPr>
                <w:rFonts w:ascii="Times New Roman" w:eastAsia="Times New Roman" w:hAnsi="Times New Roman" w:cs="Times New Roman"/>
                <w:bCs/>
                <w:color w:val="000000"/>
              </w:rPr>
            </w:pPr>
          </w:p>
          <w:p w14:paraId="0C9ACE3A" w14:textId="589FFDC5" w:rsidR="006D5118" w:rsidRPr="00F66630" w:rsidRDefault="00247C89" w:rsidP="00CD7FB0">
            <w:pPr>
              <w:rPr>
                <w:rFonts w:ascii="Times New Roman" w:hAnsi="Times New Roman" w:cs="Times New Roman"/>
                <w:i/>
                <w:iCs/>
              </w:rPr>
            </w:pPr>
            <w:r w:rsidRPr="00F66630">
              <w:rPr>
                <w:rFonts w:ascii="Times New Roman" w:hAnsi="Times New Roman" w:cs="Times New Roman"/>
                <w:i/>
                <w:iCs/>
              </w:rPr>
              <w:t>For all results (basic and stretch targets) in 2020 and 2021:</w:t>
            </w:r>
          </w:p>
          <w:p w14:paraId="0C6611CB" w14:textId="29E893F0" w:rsidR="00BF16B9" w:rsidRPr="00F66630" w:rsidRDefault="00BF16B9" w:rsidP="00871362">
            <w:pPr>
              <w:rPr>
                <w:rFonts w:ascii="Times New Roman" w:eastAsia="Times New Roman" w:hAnsi="Times New Roman" w:cs="Times New Roman"/>
                <w:bCs/>
                <w:color w:val="000000"/>
              </w:rPr>
            </w:pPr>
            <w:r w:rsidRPr="00F66630">
              <w:rPr>
                <w:rFonts w:ascii="Times New Roman" w:hAnsi="Times New Roman" w:cs="Times New Roman"/>
              </w:rPr>
              <w:t xml:space="preserve">(iii) States have published online elements of the internal domestic expenditure arrears database on a state official website, which constitutes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domestic expenditure arrears database</w:t>
            </w:r>
            <w:r w:rsidR="00247C89" w:rsidRPr="00F66630">
              <w:rPr>
                <w:rFonts w:ascii="Times New Roman" w:hAnsi="Times New Roman" w:cs="Times New Roman"/>
              </w:rPr>
              <w:t>, by the 31st December of the year under assessment</w:t>
            </w:r>
            <w:r w:rsidRPr="00F66630">
              <w:rPr>
                <w:rFonts w:ascii="Times New Roman" w:hAnsi="Times New Roman" w:cs="Times New Roman"/>
              </w:rPr>
              <w:t xml:space="preserve">. </w:t>
            </w:r>
          </w:p>
          <w:p w14:paraId="42C54A33" w14:textId="77777777" w:rsidR="00BF16B9" w:rsidRPr="00F66630" w:rsidRDefault="00BF16B9" w:rsidP="00871362">
            <w:pPr>
              <w:pStyle w:val="ListParagraph"/>
              <w:numPr>
                <w:ilvl w:val="0"/>
                <w:numId w:val="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 xml:space="preserve">The </w:t>
            </w:r>
            <w:r w:rsidRPr="00F66630">
              <w:rPr>
                <w:rFonts w:ascii="Times New Roman" w:hAnsi="Times New Roman" w:cs="Times New Roman"/>
              </w:rPr>
              <w:t>online publicly-accessible domestic expenditure arrears database</w:t>
            </w:r>
            <w:r w:rsidRPr="00F66630">
              <w:rPr>
                <w:rFonts w:ascii="Times New Roman" w:eastAsia="Times New Roman" w:hAnsi="Times New Roman" w:cs="Times New Roman"/>
                <w:bCs/>
                <w:color w:val="000000"/>
              </w:rPr>
              <w:t xml:space="preserve"> must include the following information: (1) the aggregate amount of contractors' arrears; (2) the aggregate amount of pension and gratuity arrears; (3) the aggregate amount of salary arrears and other staff claims; and (4) a list of names of contractors with recognized arrears exceeding 20 million naira and information for contractors to be able to verify that their claims are being accurately reported in the database. </w:t>
            </w:r>
          </w:p>
          <w:p w14:paraId="25BC5BDF" w14:textId="77777777" w:rsidR="00BF16B9" w:rsidRPr="00F66630" w:rsidRDefault="00BF16B9" w:rsidP="00871362">
            <w:pPr>
              <w:pStyle w:val="ListParagraph"/>
              <w:numPr>
                <w:ilvl w:val="0"/>
                <w:numId w:val="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Information referred to in point (4) must include the name of the contractor, the nature of the goods and services procured, and the billing date. It does not have to include the amount of the contractor's claim and other billing data.</w:t>
            </w:r>
            <w:r w:rsidRPr="00F66630">
              <w:t xml:space="preserve"> </w:t>
            </w:r>
          </w:p>
          <w:p w14:paraId="461D4F94" w14:textId="3E4AB192" w:rsidR="00BF16B9" w:rsidRPr="00F66630" w:rsidRDefault="00BF16B9" w:rsidP="00871362">
            <w:pPr>
              <w:pStyle w:val="ListParagraph"/>
              <w:numPr>
                <w:ilvl w:val="0"/>
                <w:numId w:val="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 xml:space="preserve">The website supporting the </w:t>
            </w:r>
            <w:r w:rsidRPr="00F66630">
              <w:rPr>
                <w:rFonts w:ascii="Times New Roman" w:hAnsi="Times New Roman" w:cs="Times New Roman"/>
              </w:rPr>
              <w:t xml:space="preserve">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domestic expenditure arrears database</w:t>
            </w:r>
            <w:r w:rsidRPr="00F66630">
              <w:rPr>
                <w:rFonts w:ascii="Times New Roman" w:eastAsia="Times New Roman" w:hAnsi="Times New Roman" w:cs="Times New Roman"/>
                <w:bCs/>
                <w:color w:val="000000"/>
              </w:rPr>
              <w:t xml:space="preserve"> shall contain an electronic link </w:t>
            </w:r>
            <w:r w:rsidR="00DC4356" w:rsidRPr="00F66630">
              <w:rPr>
                <w:rFonts w:ascii="Times New Roman" w:eastAsia="Times New Roman" w:hAnsi="Times New Roman" w:cs="Times New Roman"/>
                <w:bCs/>
                <w:color w:val="000000"/>
              </w:rPr>
              <w:t xml:space="preserve">or other means of communication </w:t>
            </w:r>
            <w:r w:rsidRPr="00F66630">
              <w:rPr>
                <w:rFonts w:ascii="Times New Roman" w:eastAsia="Times New Roman" w:hAnsi="Times New Roman" w:cs="Times New Roman"/>
                <w:bCs/>
                <w:color w:val="000000"/>
              </w:rPr>
              <w:t xml:space="preserve">that permits any contractor creditor whose individual claim is listed in the database to request a restricted disclosure of the information </w:t>
            </w:r>
            <w:r w:rsidRPr="00F66630">
              <w:rPr>
                <w:rFonts w:ascii="Times New Roman" w:eastAsia="Times New Roman" w:hAnsi="Times New Roman" w:cs="Times New Roman"/>
                <w:bCs/>
                <w:i/>
                <w:color w:val="000000"/>
              </w:rPr>
              <w:t xml:space="preserve">not </w:t>
            </w:r>
            <w:r w:rsidRPr="00F66630">
              <w:rPr>
                <w:rFonts w:ascii="Times New Roman" w:eastAsia="Times New Roman" w:hAnsi="Times New Roman" w:cs="Times New Roman"/>
                <w:bCs/>
                <w:color w:val="000000"/>
              </w:rPr>
              <w:t xml:space="preserve">reported on the online database (namely, the amount of the contractor's claim and other billing data), by filling a confidential form online and attaching supportive evidence of her claim. If the State Ministry of Finance confirms the validity of this claim, the restricted disclosure will be provided to the creditor. </w:t>
            </w:r>
          </w:p>
          <w:p w14:paraId="6D82CB3C" w14:textId="62F28E71" w:rsidR="00BF16B9" w:rsidRPr="00F66630" w:rsidRDefault="00BF16B9" w:rsidP="00871362">
            <w:pPr>
              <w:pStyle w:val="ListParagraph"/>
              <w:numPr>
                <w:ilvl w:val="0"/>
                <w:numId w:val="8"/>
              </w:numPr>
              <w:rPr>
                <w:rFonts w:ascii="Times New Roman" w:eastAsia="Times New Roman" w:hAnsi="Times New Roman" w:cs="Times New Roman"/>
                <w:bCs/>
                <w:color w:val="000000"/>
              </w:rPr>
            </w:pPr>
            <w:r w:rsidRPr="00F66630">
              <w:rPr>
                <w:rFonts w:ascii="Times New Roman" w:eastAsia="Times New Roman" w:hAnsi="Times New Roman" w:cs="Times New Roman"/>
                <w:bCs/>
                <w:color w:val="000000"/>
              </w:rPr>
              <w:t xml:space="preserve">The website supporting the </w:t>
            </w:r>
            <w:r w:rsidRPr="00F66630">
              <w:rPr>
                <w:rFonts w:ascii="Times New Roman" w:hAnsi="Times New Roman" w:cs="Times New Roman"/>
              </w:rPr>
              <w:t xml:space="preserve">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domestic expenditure arrears database</w:t>
            </w:r>
            <w:r w:rsidRPr="00F66630">
              <w:rPr>
                <w:rFonts w:ascii="Times New Roman" w:eastAsia="Times New Roman" w:hAnsi="Times New Roman" w:cs="Times New Roman"/>
                <w:bCs/>
                <w:color w:val="000000"/>
              </w:rPr>
              <w:t xml:space="preserve"> shall contain an electronic link</w:t>
            </w:r>
            <w:r w:rsidR="00DC4356" w:rsidRPr="00F66630">
              <w:rPr>
                <w:rFonts w:ascii="Times New Roman" w:eastAsia="Times New Roman" w:hAnsi="Times New Roman" w:cs="Times New Roman"/>
                <w:bCs/>
                <w:color w:val="000000"/>
              </w:rPr>
              <w:t xml:space="preserve"> or other means of communication</w:t>
            </w:r>
            <w:r w:rsidRPr="00F66630">
              <w:rPr>
                <w:rFonts w:ascii="Times New Roman" w:eastAsia="Times New Roman" w:hAnsi="Times New Roman" w:cs="Times New Roman"/>
                <w:bCs/>
                <w:color w:val="000000"/>
              </w:rPr>
              <w:t xml:space="preserve"> that permits any potential contractor creditor whose individual claim is not listed in the database to communicate this exclusion to the State Ministry of Finance, by filling a confidential form online and attaching supportive evidence of her claim. If the State Ministry of Finance confirms the validity of this claim, it shall be added to the </w:t>
            </w:r>
            <w:r w:rsidRPr="00F66630">
              <w:rPr>
                <w:rFonts w:ascii="Times New Roman" w:hAnsi="Times New Roman" w:cs="Times New Roman"/>
              </w:rPr>
              <w:t xml:space="preserve">internal domestic expenditure arrears database and included as relevant in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domestic expenditure arrears database</w:t>
            </w:r>
            <w:r w:rsidRPr="00F66630">
              <w:rPr>
                <w:rFonts w:ascii="Times New Roman" w:eastAsia="Times New Roman" w:hAnsi="Times New Roman" w:cs="Times New Roman"/>
                <w:bCs/>
                <w:color w:val="000000"/>
              </w:rPr>
              <w:t>.</w:t>
            </w:r>
            <w:r w:rsidRPr="00F66630" w:rsidDel="00DA3A22">
              <w:rPr>
                <w:rFonts w:ascii="Times New Roman" w:eastAsia="Times New Roman" w:hAnsi="Times New Roman" w:cs="Times New Roman"/>
                <w:bCs/>
                <w:color w:val="000000"/>
              </w:rPr>
              <w:t xml:space="preserve"> </w:t>
            </w:r>
          </w:p>
          <w:p w14:paraId="4DBBC145" w14:textId="25D01151" w:rsidR="00BF16B9" w:rsidRPr="00F66630" w:rsidRDefault="00BF16B9" w:rsidP="00871362">
            <w:pPr>
              <w:pStyle w:val="ListParagraph"/>
              <w:ind w:left="360"/>
              <w:rPr>
                <w:rFonts w:ascii="Times New Roman" w:eastAsia="Times New Roman" w:hAnsi="Times New Roman" w:cs="Times New Roman"/>
                <w:bCs/>
                <w:color w:val="000000"/>
              </w:rPr>
            </w:pPr>
          </w:p>
          <w:p w14:paraId="3A351A61" w14:textId="64C3247C" w:rsidR="0011620E" w:rsidRPr="00F66630" w:rsidRDefault="0011620E" w:rsidP="0011620E">
            <w:pPr>
              <w:rPr>
                <w:rFonts w:ascii="Times New Roman" w:eastAsia="Times New Roman" w:hAnsi="Times New Roman" w:cs="Times New Roman"/>
                <w:bCs/>
                <w:color w:val="000000"/>
              </w:rPr>
            </w:pPr>
            <w:r w:rsidRPr="00F66630">
              <w:rPr>
                <w:rFonts w:ascii="Times New Roman" w:hAnsi="Times New Roman" w:cs="Times New Roman"/>
                <w:i/>
                <w:iCs/>
              </w:rPr>
              <w:t xml:space="preserve">For </w:t>
            </w:r>
            <w:r w:rsidR="008D74CE" w:rsidRPr="00F66630">
              <w:rPr>
                <w:rFonts w:ascii="Times New Roman" w:hAnsi="Times New Roman" w:cs="Times New Roman"/>
                <w:i/>
                <w:iCs/>
              </w:rPr>
              <w:t xml:space="preserve">the </w:t>
            </w:r>
            <w:r w:rsidRPr="00F66630">
              <w:rPr>
                <w:rFonts w:ascii="Times New Roman" w:hAnsi="Times New Roman" w:cs="Times New Roman"/>
                <w:i/>
                <w:iCs/>
              </w:rPr>
              <w:t>stretch target of the 2020 result and basic and stretch targets of the 2021 result:</w:t>
            </w:r>
          </w:p>
          <w:p w14:paraId="36F2534D" w14:textId="3EEF1D9D" w:rsidR="00BF16B9" w:rsidRPr="00F66630" w:rsidRDefault="00ED28D8" w:rsidP="00871362">
            <w:pPr>
              <w:rPr>
                <w:rFonts w:ascii="Times New Roman" w:eastAsia="Times New Roman" w:hAnsi="Times New Roman" w:cs="Times New Roman"/>
                <w:color w:val="000000"/>
              </w:rPr>
            </w:pPr>
            <w:r w:rsidRPr="00F66630">
              <w:rPr>
                <w:rFonts w:ascii="Times New Roman" w:eastAsia="Times New Roman" w:hAnsi="Times New Roman" w:cs="Times New Roman"/>
                <w:bCs/>
                <w:color w:val="000000"/>
              </w:rPr>
              <w:t xml:space="preserve">(iv) </w:t>
            </w:r>
            <w:r w:rsidR="00BF16B9" w:rsidRPr="00F66630">
              <w:rPr>
                <w:rFonts w:ascii="Times New Roman" w:eastAsia="Times New Roman" w:hAnsi="Times New Roman" w:cs="Times New Roman"/>
                <w:bCs/>
                <w:color w:val="000000"/>
              </w:rPr>
              <w:t xml:space="preserve">The clearance/reduction of domestic expenditure arrears is defined as the decline in the </w:t>
            </w:r>
            <w:r w:rsidR="00BF16B9" w:rsidRPr="00F66630">
              <w:rPr>
                <w:rFonts w:ascii="Times New Roman" w:hAnsi="Times New Roman" w:cs="Times New Roman"/>
              </w:rPr>
              <w:t>nominal stock of total domestic expenditure arrears at the end of year, compared to the previous year, expressed in percentage terms.</w:t>
            </w:r>
            <w:r w:rsidR="00BF16B9" w:rsidRPr="00F66630">
              <w:rPr>
                <w:rFonts w:ascii="Times New Roman" w:eastAsia="Times New Roman" w:hAnsi="Times New Roman" w:cs="Times New Roman"/>
                <w:color w:val="000000"/>
              </w:rPr>
              <w:t xml:space="preserve"> </w:t>
            </w:r>
          </w:p>
          <w:p w14:paraId="097285A5" w14:textId="77777777" w:rsidR="00BF16B9" w:rsidRPr="00F66630" w:rsidRDefault="00BF16B9" w:rsidP="00487CF4">
            <w:pPr>
              <w:pStyle w:val="ListParagraph"/>
              <w:numPr>
                <w:ilvl w:val="0"/>
                <w:numId w:val="38"/>
              </w:numPr>
              <w:rPr>
                <w:rFonts w:ascii="Times New Roman" w:hAnsi="Times New Roman" w:cs="Times New Roman"/>
              </w:rPr>
            </w:pPr>
            <w:r w:rsidRPr="00F66630">
              <w:rPr>
                <w:rFonts w:ascii="Times New Roman" w:eastAsia="Times New Roman" w:hAnsi="Times New Roman" w:cs="Times New Roman"/>
                <w:bCs/>
                <w:color w:val="000000"/>
              </w:rPr>
              <w:t>The stock of total domestic expenditure arrears means the sum of the stocks of the different categories of domestic expenditure arrears in the state, including but not limited to contractor arrears, pension and gratuity arrears, salary arrears and other staff claims, which have been verified and categorized as valid.</w:t>
            </w:r>
          </w:p>
          <w:p w14:paraId="097DC829" w14:textId="77777777" w:rsidR="00BF16B9" w:rsidRPr="00F66630" w:rsidRDefault="00BF16B9" w:rsidP="00487CF4">
            <w:pPr>
              <w:pStyle w:val="ListParagraph"/>
              <w:numPr>
                <w:ilvl w:val="0"/>
                <w:numId w:val="38"/>
              </w:numPr>
              <w:rPr>
                <w:rFonts w:ascii="Times New Roman" w:hAnsi="Times New Roman" w:cs="Times New Roman"/>
              </w:rPr>
            </w:pPr>
            <w:r w:rsidRPr="00F66630">
              <w:rPr>
                <w:rFonts w:ascii="Times New Roman" w:hAnsi="Times New Roman" w:cs="Times New Roman"/>
              </w:rPr>
              <w:t>The data used to calculate the annual percentage decline must be obtained from the state internal domestic expenditure arrears database that shows which arrears have been verified and categorized as valid across all categories.</w:t>
            </w:r>
          </w:p>
          <w:p w14:paraId="47BAD3AC" w14:textId="3C627EDB" w:rsidR="00BF16B9" w:rsidRPr="00F66630" w:rsidRDefault="00BF16B9" w:rsidP="00487CF4">
            <w:pPr>
              <w:pStyle w:val="ListParagraph"/>
              <w:numPr>
                <w:ilvl w:val="0"/>
                <w:numId w:val="38"/>
              </w:numPr>
              <w:rPr>
                <w:rFonts w:ascii="Times New Roman" w:hAnsi="Times New Roman" w:cs="Times New Roman"/>
              </w:rPr>
            </w:pPr>
            <w:r w:rsidRPr="00F66630">
              <w:rPr>
                <w:rFonts w:ascii="Times New Roman" w:hAnsi="Times New Roman" w:cs="Times New Roman"/>
              </w:rPr>
              <w:lastRenderedPageBreak/>
              <w:t>The clearance of domestic expenditure arrears should be consistent with the domestic expenditure arrears clearance framework (ACF) of the state, once</w:t>
            </w:r>
            <w:r w:rsidR="006C1E93" w:rsidRPr="00F66630">
              <w:rPr>
                <w:rFonts w:ascii="Times New Roman" w:hAnsi="Times New Roman" w:cs="Times New Roman"/>
              </w:rPr>
              <w:t xml:space="preserve"> (</w:t>
            </w:r>
            <w:proofErr w:type="gramStart"/>
            <w:r w:rsidR="006C1E93" w:rsidRPr="00F66630">
              <w:rPr>
                <w:rFonts w:ascii="Times New Roman" w:hAnsi="Times New Roman" w:cs="Times New Roman"/>
              </w:rPr>
              <w:t>i.e.</w:t>
            </w:r>
            <w:proofErr w:type="gramEnd"/>
            <w:r w:rsidR="006C1E93" w:rsidRPr="00F66630">
              <w:rPr>
                <w:rFonts w:ascii="Times New Roman" w:hAnsi="Times New Roman" w:cs="Times New Roman"/>
              </w:rPr>
              <w:t xml:space="preserve"> after)</w:t>
            </w:r>
            <w:r w:rsidRPr="00F66630">
              <w:rPr>
                <w:rFonts w:ascii="Times New Roman" w:hAnsi="Times New Roman" w:cs="Times New Roman"/>
              </w:rPr>
              <w:t xml:space="preserve"> the ACF has been established. </w:t>
            </w:r>
          </w:p>
          <w:p w14:paraId="7173E373" w14:textId="47AC91CD" w:rsidR="00225E48" w:rsidRPr="00F66630" w:rsidRDefault="00225E48" w:rsidP="00487CF4">
            <w:pPr>
              <w:pStyle w:val="ListParagraph"/>
              <w:numPr>
                <w:ilvl w:val="0"/>
                <w:numId w:val="38"/>
              </w:numPr>
              <w:rPr>
                <w:rFonts w:ascii="Times New Roman" w:hAnsi="Times New Roman" w:cs="Times New Roman"/>
              </w:rPr>
            </w:pPr>
            <w:r w:rsidRPr="00F66630">
              <w:rPr>
                <w:rFonts w:ascii="Times New Roman" w:eastAsia="Times New Roman" w:hAnsi="Times New Roman" w:cs="Times New Roman"/>
                <w:color w:val="000000"/>
              </w:rPr>
              <w:t xml:space="preserve">The percentage decline must </w:t>
            </w:r>
            <w:r w:rsidR="00BD58AB" w:rsidRPr="00F66630">
              <w:rPr>
                <w:rFonts w:ascii="Times New Roman" w:eastAsia="Times New Roman" w:hAnsi="Times New Roman" w:cs="Times New Roman"/>
                <w:color w:val="000000"/>
              </w:rPr>
              <w:t>me</w:t>
            </w:r>
            <w:r w:rsidR="00352C4D" w:rsidRPr="00F66630">
              <w:rPr>
                <w:rFonts w:ascii="Times New Roman" w:eastAsia="Times New Roman" w:hAnsi="Times New Roman" w:cs="Times New Roman"/>
                <w:color w:val="000000"/>
              </w:rPr>
              <w:t>e</w:t>
            </w:r>
            <w:r w:rsidR="00BD58AB" w:rsidRPr="00F66630">
              <w:rPr>
                <w:rFonts w:ascii="Times New Roman" w:eastAsia="Times New Roman" w:hAnsi="Times New Roman" w:cs="Times New Roman"/>
                <w:color w:val="000000"/>
              </w:rPr>
              <w:t xml:space="preserve">t the </w:t>
            </w:r>
            <w:r w:rsidRPr="00F66630">
              <w:rPr>
                <w:rFonts w:ascii="Times New Roman" w:hAnsi="Times New Roman" w:cs="Times New Roman"/>
              </w:rPr>
              <w:t>basic or stretch targets.</w:t>
            </w:r>
          </w:p>
          <w:p w14:paraId="6557460C" w14:textId="5334737A" w:rsidR="00BF16B9" w:rsidRPr="00F66630" w:rsidRDefault="00BF16B9" w:rsidP="00487CF4">
            <w:pPr>
              <w:pStyle w:val="ListParagraph"/>
              <w:numPr>
                <w:ilvl w:val="1"/>
                <w:numId w:val="38"/>
              </w:numPr>
              <w:rPr>
                <w:rFonts w:ascii="Times New Roman" w:hAnsi="Times New Roman" w:cs="Times New Roman"/>
                <w:i/>
              </w:rPr>
            </w:pPr>
            <w:r w:rsidRPr="00F66630">
              <w:rPr>
                <w:rFonts w:ascii="Times New Roman" w:hAnsi="Times New Roman" w:cs="Times New Roman"/>
              </w:rPr>
              <w:t xml:space="preserve">For the </w:t>
            </w:r>
            <w:r w:rsidR="006E60A7" w:rsidRPr="00F66630">
              <w:rPr>
                <w:rFonts w:ascii="Times New Roman" w:hAnsi="Times New Roman" w:cs="Times New Roman"/>
              </w:rPr>
              <w:t>2020 stretch target</w:t>
            </w:r>
            <w:r w:rsidR="00352C4D" w:rsidRPr="00F66630">
              <w:rPr>
                <w:rFonts w:ascii="Times New Roman" w:hAnsi="Times New Roman" w:cs="Times New Roman"/>
              </w:rPr>
              <w:t xml:space="preserve"> and 2021 basic target</w:t>
            </w:r>
            <w:r w:rsidR="006E60A7" w:rsidRPr="00F66630">
              <w:rPr>
                <w:rFonts w:ascii="Times New Roman" w:hAnsi="Times New Roman" w:cs="Times New Roman"/>
              </w:rPr>
              <w:t>:</w:t>
            </w:r>
            <w:r w:rsidRPr="00F66630">
              <w:rPr>
                <w:rFonts w:ascii="Times New Roman" w:hAnsi="Times New Roman" w:cs="Times New Roman"/>
              </w:rPr>
              <w:t xml:space="preserve"> states either </w:t>
            </w:r>
            <w:proofErr w:type="gramStart"/>
            <w:r w:rsidRPr="00F66630">
              <w:rPr>
                <w:rFonts w:ascii="Times New Roman" w:hAnsi="Times New Roman" w:cs="Times New Roman"/>
              </w:rPr>
              <w:t>have to</w:t>
            </w:r>
            <w:proofErr w:type="gramEnd"/>
            <w:r w:rsidRPr="00F66630">
              <w:rPr>
                <w:rFonts w:ascii="Times New Roman" w:hAnsi="Times New Roman" w:cs="Times New Roman"/>
              </w:rPr>
              <w:t xml:space="preserve"> show at least a 5 percent year-on-year decline or maintain the stock of arrears below 5 billion naira. (</w:t>
            </w:r>
            <w:r w:rsidRPr="00F66630">
              <w:rPr>
                <w:rFonts w:ascii="Times New Roman" w:hAnsi="Times New Roman" w:cs="Times New Roman"/>
                <w:i/>
              </w:rPr>
              <w:t>The 5 billion naira represents a small amount of technical arrears (non-repayment because of delay in payment advice, contested claims, delays in payment by treasury lead to short-term timing mismatches).</w:t>
            </w:r>
          </w:p>
          <w:p w14:paraId="0A8FE74D" w14:textId="28A5D520" w:rsidR="00BF16B9" w:rsidRPr="00F66630" w:rsidRDefault="00BF16B9" w:rsidP="00487CF4">
            <w:pPr>
              <w:pStyle w:val="ListParagraph"/>
              <w:numPr>
                <w:ilvl w:val="1"/>
                <w:numId w:val="38"/>
              </w:numPr>
              <w:rPr>
                <w:rFonts w:ascii="Times New Roman" w:hAnsi="Times New Roman" w:cs="Times New Roman"/>
              </w:rPr>
            </w:pPr>
            <w:r w:rsidRPr="00F66630">
              <w:rPr>
                <w:rFonts w:ascii="Times New Roman" w:hAnsi="Times New Roman" w:cs="Times New Roman"/>
              </w:rPr>
              <w:t xml:space="preserve">For the </w:t>
            </w:r>
            <w:r w:rsidR="006E60A7" w:rsidRPr="00F66630">
              <w:rPr>
                <w:rFonts w:ascii="Times New Roman" w:hAnsi="Times New Roman" w:cs="Times New Roman"/>
              </w:rPr>
              <w:t>2021</w:t>
            </w:r>
            <w:r w:rsidR="004B677C" w:rsidRPr="00F66630">
              <w:rPr>
                <w:rFonts w:ascii="Times New Roman" w:hAnsi="Times New Roman" w:cs="Times New Roman"/>
              </w:rPr>
              <w:t xml:space="preserve"> stretch target</w:t>
            </w:r>
            <w:r w:rsidRPr="00F66630">
              <w:rPr>
                <w:rFonts w:ascii="Times New Roman" w:hAnsi="Times New Roman" w:cs="Times New Roman"/>
              </w:rPr>
              <w:t xml:space="preserve">, states </w:t>
            </w:r>
            <w:proofErr w:type="gramStart"/>
            <w:r w:rsidRPr="00F66630">
              <w:rPr>
                <w:rFonts w:ascii="Times New Roman" w:hAnsi="Times New Roman" w:cs="Times New Roman"/>
              </w:rPr>
              <w:t>have to</w:t>
            </w:r>
            <w:proofErr w:type="gramEnd"/>
            <w:r w:rsidRPr="00F66630">
              <w:rPr>
                <w:rFonts w:ascii="Times New Roman" w:hAnsi="Times New Roman" w:cs="Times New Roman"/>
              </w:rPr>
              <w:t xml:space="preserve"> show a year-on-year decline of at least 20 percent.</w:t>
            </w:r>
          </w:p>
          <w:p w14:paraId="1915B28E" w14:textId="77777777" w:rsidR="00981B20" w:rsidRPr="00F66630" w:rsidRDefault="00981B20" w:rsidP="00BD52F2">
            <w:pPr>
              <w:rPr>
                <w:rFonts w:ascii="Times New Roman" w:hAnsi="Times New Roman" w:cs="Times New Roman"/>
              </w:rPr>
            </w:pPr>
          </w:p>
          <w:p w14:paraId="4E324E4F" w14:textId="2877AC8D" w:rsidR="00194A1E" w:rsidRPr="00F66630" w:rsidRDefault="00A07767" w:rsidP="00194A1E">
            <w:pPr>
              <w:rPr>
                <w:rFonts w:ascii="Times New Roman" w:hAnsi="Times New Roman" w:cs="Times New Roman"/>
                <w:i/>
                <w:iCs/>
              </w:rPr>
            </w:pPr>
            <w:r w:rsidRPr="00F66630">
              <w:rPr>
                <w:rFonts w:ascii="Times New Roman" w:hAnsi="Times New Roman" w:cs="Times New Roman"/>
                <w:i/>
                <w:iCs/>
              </w:rPr>
              <w:t>Note</w:t>
            </w:r>
            <w:r w:rsidR="007A499E" w:rsidRPr="00F66630">
              <w:rPr>
                <w:rFonts w:ascii="Times New Roman" w:hAnsi="Times New Roman" w:cs="Times New Roman"/>
                <w:i/>
                <w:iCs/>
              </w:rPr>
              <w:t xml:space="preserve">: </w:t>
            </w:r>
            <w:r w:rsidR="00194A1E" w:rsidRPr="00F66630">
              <w:rPr>
                <w:rFonts w:ascii="Times New Roman" w:hAnsi="Times New Roman" w:cs="Times New Roman"/>
                <w:i/>
                <w:iCs/>
              </w:rPr>
              <w:t>States and the IVA will do the following to calculate the percentage reduction</w:t>
            </w:r>
            <w:r w:rsidRPr="00F66630">
              <w:rPr>
                <w:rFonts w:ascii="Times New Roman" w:hAnsi="Times New Roman" w:cs="Times New Roman"/>
                <w:i/>
                <w:iCs/>
              </w:rPr>
              <w:t xml:space="preserve"> in cases where States find invalid arrear or additional valid arrears </w:t>
            </w:r>
            <w:r w:rsidR="007A499E" w:rsidRPr="00F66630">
              <w:rPr>
                <w:rFonts w:ascii="Times New Roman" w:hAnsi="Times New Roman" w:cs="Times New Roman"/>
                <w:i/>
                <w:iCs/>
              </w:rPr>
              <w:t>during the verification process in-year</w:t>
            </w:r>
            <w:r w:rsidR="00194A1E" w:rsidRPr="00F66630">
              <w:rPr>
                <w:rFonts w:ascii="Times New Roman" w:hAnsi="Times New Roman" w:cs="Times New Roman"/>
                <w:i/>
                <w:iCs/>
              </w:rPr>
              <w:t>:</w:t>
            </w:r>
          </w:p>
          <w:p w14:paraId="7AF30BDB" w14:textId="391E030E" w:rsidR="00194A1E" w:rsidRPr="00F66630" w:rsidRDefault="00194A1E" w:rsidP="00487CF4">
            <w:pPr>
              <w:numPr>
                <w:ilvl w:val="0"/>
                <w:numId w:val="90"/>
              </w:numPr>
              <w:rPr>
                <w:rFonts w:ascii="Times New Roman" w:hAnsi="Times New Roman" w:cs="Times New Roman"/>
              </w:rPr>
            </w:pPr>
            <w:r w:rsidRPr="00F66630">
              <w:rPr>
                <w:rFonts w:ascii="Times New Roman" w:hAnsi="Times New Roman" w:cs="Times New Roman"/>
              </w:rPr>
              <w:t xml:space="preserve">If States find invalid arrears, these </w:t>
            </w:r>
            <w:r w:rsidR="007A499E" w:rsidRPr="00F66630">
              <w:rPr>
                <w:rFonts w:ascii="Times New Roman" w:hAnsi="Times New Roman" w:cs="Times New Roman"/>
              </w:rPr>
              <w:t xml:space="preserve">arrears </w:t>
            </w:r>
            <w:r w:rsidRPr="00F66630">
              <w:rPr>
                <w:rFonts w:ascii="Times New Roman" w:hAnsi="Times New Roman" w:cs="Times New Roman"/>
              </w:rPr>
              <w:t xml:space="preserve">should be </w:t>
            </w:r>
            <w:r w:rsidRPr="00F66630">
              <w:rPr>
                <w:rFonts w:ascii="Times New Roman" w:hAnsi="Times New Roman" w:cs="Times New Roman"/>
                <w:u w:val="single"/>
              </w:rPr>
              <w:t>removed</w:t>
            </w:r>
            <w:r w:rsidRPr="00F66630">
              <w:rPr>
                <w:rFonts w:ascii="Times New Roman" w:hAnsi="Times New Roman" w:cs="Times New Roman"/>
              </w:rPr>
              <w:t xml:space="preserve"> from the start of year and end of year balances for the purpose of calculating the percentage reduction in the DLI</w:t>
            </w:r>
          </w:p>
          <w:p w14:paraId="591AC49F" w14:textId="41512045" w:rsidR="00194A1E" w:rsidRPr="00F66630" w:rsidRDefault="00194A1E" w:rsidP="00487CF4">
            <w:pPr>
              <w:numPr>
                <w:ilvl w:val="0"/>
                <w:numId w:val="90"/>
              </w:numPr>
              <w:rPr>
                <w:rFonts w:ascii="Times New Roman" w:hAnsi="Times New Roman" w:cs="Times New Roman"/>
              </w:rPr>
            </w:pPr>
            <w:r w:rsidRPr="00F66630">
              <w:rPr>
                <w:rFonts w:ascii="Times New Roman" w:hAnsi="Times New Roman" w:cs="Times New Roman"/>
              </w:rPr>
              <w:t xml:space="preserve">If States find additional valid arrears, these </w:t>
            </w:r>
            <w:r w:rsidR="007A499E" w:rsidRPr="00F66630">
              <w:rPr>
                <w:rFonts w:ascii="Times New Roman" w:hAnsi="Times New Roman" w:cs="Times New Roman"/>
              </w:rPr>
              <w:t xml:space="preserve">arrears </w:t>
            </w:r>
            <w:r w:rsidRPr="00F66630">
              <w:rPr>
                <w:rFonts w:ascii="Times New Roman" w:hAnsi="Times New Roman" w:cs="Times New Roman"/>
              </w:rPr>
              <w:t xml:space="preserve">should be </w:t>
            </w:r>
            <w:r w:rsidRPr="00F66630">
              <w:rPr>
                <w:rFonts w:ascii="Times New Roman" w:hAnsi="Times New Roman" w:cs="Times New Roman"/>
                <w:u w:val="single"/>
              </w:rPr>
              <w:t>included</w:t>
            </w:r>
            <w:r w:rsidRPr="00F66630">
              <w:rPr>
                <w:rFonts w:ascii="Times New Roman" w:hAnsi="Times New Roman" w:cs="Times New Roman"/>
              </w:rPr>
              <w:t xml:space="preserve"> in the start of year and end of year balances for the purpose of calculating the percentage reduction in the DLI</w:t>
            </w:r>
          </w:p>
          <w:p w14:paraId="5A43CBE6" w14:textId="4245EA40" w:rsidR="00194A1E" w:rsidRPr="00F66630" w:rsidRDefault="00194A1E" w:rsidP="00BD52F2">
            <w:pPr>
              <w:rPr>
                <w:rFonts w:ascii="Times New Roman" w:hAnsi="Times New Roman" w:cs="Times New Roman"/>
              </w:rPr>
            </w:pPr>
          </w:p>
        </w:tc>
      </w:tr>
      <w:tr w:rsidR="00BF16B9" w:rsidRPr="00F66630" w14:paraId="06297F97" w14:textId="77777777" w:rsidTr="00406AD8">
        <w:tc>
          <w:tcPr>
            <w:tcW w:w="5000" w:type="pct"/>
            <w:gridSpan w:val="2"/>
            <w:shd w:val="clear" w:color="auto" w:fill="FDE9D9" w:themeFill="accent6" w:themeFillTint="33"/>
          </w:tcPr>
          <w:p w14:paraId="6579A12F" w14:textId="158514A4" w:rsidR="00BF16B9" w:rsidRPr="00F66630" w:rsidRDefault="00BF16B9" w:rsidP="00871362">
            <w:pPr>
              <w:rPr>
                <w:rFonts w:ascii="Times New Roman" w:hAnsi="Times New Roman" w:cs="Times New Roman"/>
                <w:b/>
                <w:i/>
              </w:rPr>
            </w:pPr>
            <w:bookmarkStart w:id="33" w:name="_Hlk524619205"/>
            <w:r w:rsidRPr="00F66630">
              <w:rPr>
                <w:rFonts w:ascii="Times New Roman" w:hAnsi="Times New Roman" w:cs="Times New Roman"/>
                <w:b/>
                <w:i/>
              </w:rPr>
              <w:lastRenderedPageBreak/>
              <w:t>Data Source and Procedures to assess achievement</w:t>
            </w:r>
            <w:r w:rsidR="00DC4356" w:rsidRPr="00F66630">
              <w:rPr>
                <w:rFonts w:ascii="Times New Roman" w:hAnsi="Times New Roman" w:cs="Times New Roman"/>
                <w:b/>
                <w:i/>
              </w:rPr>
              <w:t xml:space="preserve"> (2019 APA onwards)</w:t>
            </w:r>
          </w:p>
        </w:tc>
      </w:tr>
      <w:bookmarkEnd w:id="33"/>
      <w:tr w:rsidR="00BF16B9" w:rsidRPr="00F66630" w14:paraId="27B42874" w14:textId="77777777" w:rsidTr="00406AD8">
        <w:tc>
          <w:tcPr>
            <w:tcW w:w="5000" w:type="pct"/>
            <w:gridSpan w:val="2"/>
          </w:tcPr>
          <w:p w14:paraId="01106C79" w14:textId="77777777" w:rsidR="00BF16B9" w:rsidRPr="00F66630" w:rsidRDefault="00BF16B9" w:rsidP="00871362">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Data Sources</w:t>
            </w:r>
          </w:p>
          <w:p w14:paraId="6E1DFC4D" w14:textId="77777777" w:rsidR="00BF16B9" w:rsidRPr="00F66630" w:rsidRDefault="00BF16B9" w:rsidP="00E36965">
            <w:pPr>
              <w:numPr>
                <w:ilvl w:val="0"/>
                <w:numId w:val="19"/>
              </w:numPr>
              <w:contextualSpacing/>
              <w:rPr>
                <w:rFonts w:ascii="Times New Roman" w:eastAsia="Times New Roman" w:hAnsi="Times New Roman" w:cs="Times New Roman"/>
                <w:b/>
                <w:bCs/>
                <w:iCs/>
              </w:rPr>
            </w:pPr>
            <w:r w:rsidRPr="00F66630">
              <w:rPr>
                <w:rFonts w:ascii="Times New Roman" w:eastAsia="Times New Roman" w:hAnsi="Times New Roman" w:cs="Times New Roman"/>
                <w:b/>
                <w:bCs/>
                <w:iCs/>
              </w:rPr>
              <w:t>State Ministry of Finance</w:t>
            </w:r>
            <w:r w:rsidRPr="00F66630" w:rsidDel="00C12820">
              <w:rPr>
                <w:rFonts w:ascii="Times New Roman" w:eastAsia="Times New Roman" w:hAnsi="Times New Roman" w:cs="Times New Roman"/>
                <w:b/>
                <w:bCs/>
                <w:iCs/>
              </w:rPr>
              <w:t xml:space="preserve"> </w:t>
            </w:r>
            <w:r w:rsidRPr="00F66630">
              <w:rPr>
                <w:rFonts w:ascii="Times New Roman" w:eastAsia="Times New Roman" w:hAnsi="Times New Roman" w:cs="Times New Roman"/>
                <w:bCs/>
                <w:iCs/>
              </w:rPr>
              <w:t xml:space="preserve">for: 1) the state domestic expenditure arrears clearance framework (ACF); and 2) the annual </w:t>
            </w:r>
            <w:r w:rsidRPr="00F66630">
              <w:rPr>
                <w:rFonts w:ascii="Times New Roman" w:hAnsi="Times New Roman" w:cs="Times New Roman"/>
                <w:color w:val="000000" w:themeColor="text1"/>
              </w:rPr>
              <w:t>state arrears recording, verification, and clearance report (SARVCR)</w:t>
            </w:r>
            <w:r w:rsidRPr="00F66630">
              <w:rPr>
                <w:rFonts w:ascii="Times New Roman" w:eastAsia="Times New Roman" w:hAnsi="Times New Roman" w:cs="Times New Roman"/>
                <w:bCs/>
                <w:iCs/>
              </w:rPr>
              <w:t>.</w:t>
            </w:r>
          </w:p>
          <w:p w14:paraId="7672A86C" w14:textId="41105397" w:rsidR="00E467B4" w:rsidRPr="00F66630" w:rsidRDefault="00BF16B9" w:rsidP="00594A35">
            <w:pPr>
              <w:numPr>
                <w:ilvl w:val="0"/>
                <w:numId w:val="19"/>
              </w:numPr>
              <w:contextualSpacing/>
              <w:rPr>
                <w:rFonts w:ascii="Times New Roman" w:eastAsia="Times New Roman" w:hAnsi="Times New Roman" w:cs="Times New Roman"/>
                <w:b/>
                <w:bCs/>
                <w:iCs/>
              </w:rPr>
            </w:pPr>
            <w:r w:rsidRPr="00F66630">
              <w:rPr>
                <w:rFonts w:ascii="Times New Roman" w:eastAsia="Times New Roman" w:hAnsi="Times New Roman" w:cs="Times New Roman"/>
                <w:b/>
                <w:bCs/>
                <w:iCs/>
              </w:rPr>
              <w:t xml:space="preserve">State official website(s) </w:t>
            </w:r>
            <w:r w:rsidRPr="00F66630">
              <w:rPr>
                <w:rFonts w:ascii="Times New Roman" w:eastAsia="Times New Roman" w:hAnsi="Times New Roman" w:cs="Times New Roman"/>
                <w:bCs/>
                <w:iCs/>
              </w:rPr>
              <w:t xml:space="preserve">for the published ACF and the </w:t>
            </w:r>
            <w:r w:rsidRPr="00F66630">
              <w:rPr>
                <w:rFonts w:ascii="Times New Roman" w:hAnsi="Times New Roman" w:cs="Times New Roman"/>
              </w:rPr>
              <w:t xml:space="preserve">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arrears database</w:t>
            </w:r>
            <w:r w:rsidRPr="00F66630">
              <w:rPr>
                <w:rFonts w:ascii="Times New Roman" w:eastAsia="Times New Roman" w:hAnsi="Times New Roman" w:cs="Times New Roman"/>
                <w:bCs/>
                <w:iCs/>
              </w:rPr>
              <w:t>.</w:t>
            </w:r>
            <w:r w:rsidRPr="00F66630">
              <w:rPr>
                <w:rFonts w:ascii="Times New Roman" w:eastAsia="Times New Roman" w:hAnsi="Times New Roman" w:cs="Times New Roman"/>
                <w:b/>
                <w:bCs/>
                <w:iCs/>
              </w:rPr>
              <w:t xml:space="preserve"> </w:t>
            </w:r>
          </w:p>
        </w:tc>
      </w:tr>
      <w:tr w:rsidR="00BF16B9" w:rsidRPr="00F66630" w14:paraId="226E62EC" w14:textId="77777777" w:rsidTr="00406AD8">
        <w:tc>
          <w:tcPr>
            <w:tcW w:w="5000" w:type="pct"/>
            <w:gridSpan w:val="2"/>
          </w:tcPr>
          <w:p w14:paraId="4580AF4D" w14:textId="4DA9302A" w:rsidR="00BF16B9" w:rsidRPr="00F66630" w:rsidRDefault="00BF16B9" w:rsidP="00871362">
            <w:pPr>
              <w:rPr>
                <w:rFonts w:ascii="Times New Roman" w:hAnsi="Times New Roman" w:cs="Times New Roman"/>
                <w:b/>
                <w:i/>
                <w:u w:val="single"/>
              </w:rPr>
            </w:pPr>
            <w:r w:rsidRPr="00F66630">
              <w:rPr>
                <w:rFonts w:ascii="Times New Roman" w:hAnsi="Times New Roman" w:cs="Times New Roman"/>
                <w:b/>
                <w:i/>
                <w:u w:val="single"/>
              </w:rPr>
              <w:t>Procedures</w:t>
            </w:r>
          </w:p>
          <w:p w14:paraId="6EA9A820" w14:textId="77777777" w:rsidR="00981B20" w:rsidRPr="00F66630" w:rsidRDefault="00981B20" w:rsidP="00871362">
            <w:pPr>
              <w:rPr>
                <w:rFonts w:ascii="Times New Roman" w:hAnsi="Times New Roman" w:cs="Times New Roman"/>
                <w:b/>
                <w:i/>
                <w:u w:val="single"/>
              </w:rPr>
            </w:pPr>
          </w:p>
          <w:p w14:paraId="33F99220" w14:textId="4E449609" w:rsidR="00BF16B9" w:rsidRPr="00F66630" w:rsidRDefault="00BF16B9" w:rsidP="00871362">
            <w:pPr>
              <w:rPr>
                <w:rFonts w:ascii="Times New Roman" w:hAnsi="Times New Roman" w:cs="Times New Roman"/>
                <w:b/>
                <w:color w:val="000000" w:themeColor="text1"/>
              </w:rPr>
            </w:pPr>
            <w:r w:rsidRPr="00F66630">
              <w:rPr>
                <w:rFonts w:ascii="Times New Roman" w:hAnsi="Times New Roman" w:cs="Times New Roman"/>
                <w:b/>
              </w:rPr>
              <w:t xml:space="preserve">For the </w:t>
            </w:r>
            <w:r w:rsidRPr="00F66630">
              <w:rPr>
                <w:rFonts w:ascii="Times New Roman" w:hAnsi="Times New Roman" w:cs="Times New Roman"/>
                <w:b/>
                <w:color w:val="000000" w:themeColor="text1"/>
              </w:rPr>
              <w:t xml:space="preserve">SARVCR, the </w:t>
            </w:r>
            <w:r w:rsidRPr="00F66630">
              <w:rPr>
                <w:rFonts w:ascii="Times New Roman" w:eastAsia="Times New Roman" w:hAnsi="Times New Roman" w:cs="Times New Roman"/>
                <w:b/>
                <w:bCs/>
                <w:iCs/>
              </w:rPr>
              <w:t>domestic expenditure</w:t>
            </w:r>
            <w:r w:rsidRPr="00F66630">
              <w:rPr>
                <w:rFonts w:ascii="Times New Roman" w:eastAsia="Times New Roman" w:hAnsi="Times New Roman" w:cs="Times New Roman"/>
                <w:bCs/>
                <w:iCs/>
              </w:rPr>
              <w:t xml:space="preserve"> </w:t>
            </w:r>
            <w:r w:rsidRPr="00F66630">
              <w:rPr>
                <w:rFonts w:ascii="Times New Roman" w:hAnsi="Times New Roman" w:cs="Times New Roman"/>
                <w:b/>
                <w:color w:val="000000" w:themeColor="text1"/>
              </w:rPr>
              <w:t xml:space="preserve">arrears databases, and the clearance/reduction of domestic expenditure arrears </w:t>
            </w:r>
          </w:p>
          <w:p w14:paraId="0867AF9E" w14:textId="7DA3D0E7" w:rsidR="00BF16B9" w:rsidRPr="00F66630" w:rsidRDefault="00BF16B9" w:rsidP="00871362">
            <w:pPr>
              <w:rPr>
                <w:rFonts w:ascii="Times New Roman" w:hAnsi="Times New Roman" w:cs="Times New Roman"/>
                <w:color w:val="000000" w:themeColor="text1"/>
              </w:rPr>
            </w:pPr>
            <w:r w:rsidRPr="00F66630">
              <w:rPr>
                <w:rFonts w:ascii="Times New Roman" w:hAnsi="Times New Roman" w:cs="Times New Roman"/>
              </w:rPr>
              <w:t xml:space="preserve">The State Ministry of Finance submits to the IVA the annual SARVCR </w:t>
            </w:r>
            <w:r w:rsidRPr="00F66630">
              <w:rPr>
                <w:rFonts w:ascii="Times New Roman" w:hAnsi="Times New Roman" w:cs="Times New Roman"/>
                <w:color w:val="000000" w:themeColor="text1"/>
              </w:rPr>
              <w:t>and supporting documents and data, which</w:t>
            </w:r>
            <w:r w:rsidRPr="00F66630">
              <w:rPr>
                <w:rFonts w:ascii="Times New Roman" w:hAnsi="Times New Roman" w:cs="Times New Roman"/>
              </w:rPr>
              <w:t xml:space="preserve"> </w:t>
            </w:r>
            <w:r w:rsidRPr="00F66630">
              <w:rPr>
                <w:rFonts w:ascii="Times New Roman" w:hAnsi="Times New Roman" w:cs="Times New Roman"/>
                <w:color w:val="000000" w:themeColor="text1"/>
              </w:rPr>
              <w:t xml:space="preserve">must include the following: </w:t>
            </w:r>
          </w:p>
          <w:p w14:paraId="0CC8F9A6" w14:textId="17B35D1D" w:rsidR="00BF16B9" w:rsidRPr="00F66630" w:rsidRDefault="00BF16B9" w:rsidP="00487CF4">
            <w:pPr>
              <w:pStyle w:val="ListParagraph"/>
              <w:numPr>
                <w:ilvl w:val="0"/>
                <w:numId w:val="42"/>
              </w:numPr>
              <w:rPr>
                <w:rFonts w:ascii="Times New Roman" w:hAnsi="Times New Roman" w:cs="Times New Roman"/>
                <w:color w:val="000000" w:themeColor="text1"/>
              </w:rPr>
            </w:pPr>
            <w:r w:rsidRPr="00F66630">
              <w:rPr>
                <w:rFonts w:ascii="Times New Roman" w:hAnsi="Times New Roman" w:cs="Times New Roman"/>
                <w:color w:val="000000" w:themeColor="text1"/>
              </w:rPr>
              <w:t xml:space="preserve">the total stock of domestic expenditure arrears at </w:t>
            </w:r>
            <w:r w:rsidRPr="00F66630">
              <w:rPr>
                <w:rFonts w:ascii="Times New Roman" w:eastAsia="Times New Roman" w:hAnsi="Times New Roman" w:cs="Times New Roman"/>
                <w:bCs/>
                <w:color w:val="000000"/>
              </w:rPr>
              <w:t xml:space="preserve">the end of each year as recorded in their </w:t>
            </w:r>
            <w:r w:rsidRPr="00F66630">
              <w:rPr>
                <w:rFonts w:ascii="Times New Roman" w:hAnsi="Times New Roman" w:cs="Times New Roman"/>
              </w:rPr>
              <w:t>internal domestic expenditure arrears database</w:t>
            </w:r>
            <w:r w:rsidR="00265187" w:rsidRPr="00F66630">
              <w:rPr>
                <w:rFonts w:ascii="Times New Roman" w:hAnsi="Times New Roman" w:cs="Times New Roman"/>
              </w:rPr>
              <w:t xml:space="preserve"> and </w:t>
            </w:r>
            <w:r w:rsidR="00E32291" w:rsidRPr="00F66630">
              <w:rPr>
                <w:rFonts w:ascii="Times New Roman" w:hAnsi="Times New Roman" w:cs="Times New Roman"/>
              </w:rPr>
              <w:t xml:space="preserve">note any </w:t>
            </w:r>
            <w:r w:rsidR="00265187" w:rsidRPr="00F66630">
              <w:rPr>
                <w:rFonts w:ascii="Times New Roman" w:hAnsi="Times New Roman" w:cs="Times New Roman"/>
              </w:rPr>
              <w:t>restatement</w:t>
            </w:r>
            <w:r w:rsidR="00E32291" w:rsidRPr="00F66630">
              <w:rPr>
                <w:rFonts w:ascii="Times New Roman" w:hAnsi="Times New Roman" w:cs="Times New Roman"/>
              </w:rPr>
              <w:t>s</w:t>
            </w:r>
            <w:r w:rsidR="00265187" w:rsidRPr="00F66630">
              <w:rPr>
                <w:rFonts w:ascii="Times New Roman" w:hAnsi="Times New Roman" w:cs="Times New Roman"/>
              </w:rPr>
              <w:t xml:space="preserve"> of end of year balances from the </w:t>
            </w:r>
            <w:r w:rsidR="00E32291" w:rsidRPr="00F66630">
              <w:rPr>
                <w:rFonts w:ascii="Times New Roman" w:hAnsi="Times New Roman" w:cs="Times New Roman"/>
              </w:rPr>
              <w:t xml:space="preserve">verification </w:t>
            </w:r>
            <w:proofErr w:type="gramStart"/>
            <w:r w:rsidR="00E32291" w:rsidRPr="00F66630">
              <w:rPr>
                <w:rFonts w:ascii="Times New Roman" w:hAnsi="Times New Roman" w:cs="Times New Roman"/>
              </w:rPr>
              <w:t>process</w:t>
            </w:r>
            <w:r w:rsidRPr="00F66630">
              <w:rPr>
                <w:rFonts w:ascii="Times New Roman" w:hAnsi="Times New Roman" w:cs="Times New Roman"/>
                <w:color w:val="000000" w:themeColor="text1"/>
              </w:rPr>
              <w:t>;</w:t>
            </w:r>
            <w:proofErr w:type="gramEnd"/>
            <w:r w:rsidRPr="00F66630">
              <w:rPr>
                <w:rFonts w:ascii="Times New Roman" w:hAnsi="Times New Roman" w:cs="Times New Roman"/>
                <w:color w:val="000000" w:themeColor="text1"/>
              </w:rPr>
              <w:t xml:space="preserve"> </w:t>
            </w:r>
          </w:p>
          <w:p w14:paraId="5707E798" w14:textId="65D5D74E" w:rsidR="00E32291" w:rsidRPr="00F66630" w:rsidRDefault="0019578E" w:rsidP="00487CF4">
            <w:pPr>
              <w:pStyle w:val="ListParagraph"/>
              <w:numPr>
                <w:ilvl w:val="0"/>
                <w:numId w:val="42"/>
              </w:numPr>
              <w:rPr>
                <w:rFonts w:ascii="Times New Roman" w:hAnsi="Times New Roman" w:cs="Times New Roman"/>
                <w:color w:val="000000" w:themeColor="text1"/>
              </w:rPr>
            </w:pPr>
            <w:r w:rsidRPr="00F66630">
              <w:rPr>
                <w:rFonts w:ascii="Times New Roman" w:hAnsi="Times New Roman" w:cs="Times New Roman"/>
                <w:color w:val="000000" w:themeColor="text1"/>
              </w:rPr>
              <w:t>the change in the stock of arrears at the end of the year compared to the start of the year</w:t>
            </w:r>
            <w:r w:rsidR="00A91041" w:rsidRPr="00F66630">
              <w:rPr>
                <w:rFonts w:ascii="Times New Roman" w:hAnsi="Times New Roman" w:cs="Times New Roman"/>
                <w:color w:val="000000" w:themeColor="text1"/>
              </w:rPr>
              <w:t xml:space="preserve">, disaggregating the change in the stock of arrears as a result </w:t>
            </w:r>
            <w:proofErr w:type="gramStart"/>
            <w:r w:rsidR="00A91041" w:rsidRPr="00F66630">
              <w:rPr>
                <w:rFonts w:ascii="Times New Roman" w:hAnsi="Times New Roman" w:cs="Times New Roman"/>
                <w:color w:val="000000" w:themeColor="text1"/>
              </w:rPr>
              <w:t>of:</w:t>
            </w:r>
            <w:proofErr w:type="gramEnd"/>
            <w:r w:rsidR="00A91041" w:rsidRPr="00F66630">
              <w:rPr>
                <w:rFonts w:ascii="Times New Roman" w:hAnsi="Times New Roman" w:cs="Times New Roman"/>
                <w:color w:val="000000" w:themeColor="text1"/>
              </w:rPr>
              <w:t xml:space="preserve"> 1) adjustment for </w:t>
            </w:r>
            <w:r w:rsidR="00126109" w:rsidRPr="00F66630">
              <w:rPr>
                <w:rFonts w:ascii="Times New Roman" w:hAnsi="Times New Roman" w:cs="Times New Roman"/>
                <w:color w:val="000000" w:themeColor="text1"/>
              </w:rPr>
              <w:t xml:space="preserve">identifying invalid or additional valid arrears; </w:t>
            </w:r>
            <w:r w:rsidR="00471809" w:rsidRPr="00F66630">
              <w:rPr>
                <w:rFonts w:ascii="Times New Roman" w:hAnsi="Times New Roman" w:cs="Times New Roman"/>
                <w:color w:val="000000" w:themeColor="text1"/>
              </w:rPr>
              <w:t>2) accumulation of new arrears; and 3) settlement of existing arrears.</w:t>
            </w:r>
          </w:p>
          <w:p w14:paraId="151E0017" w14:textId="6E238C81" w:rsidR="00BF16B9" w:rsidRPr="00F66630" w:rsidRDefault="00BF16B9" w:rsidP="00487CF4">
            <w:pPr>
              <w:pStyle w:val="ListParagraph"/>
              <w:numPr>
                <w:ilvl w:val="0"/>
                <w:numId w:val="42"/>
              </w:numPr>
              <w:rPr>
                <w:rFonts w:ascii="Times New Roman" w:hAnsi="Times New Roman" w:cs="Times New Roman"/>
                <w:color w:val="000000" w:themeColor="text1"/>
              </w:rPr>
            </w:pPr>
            <w:r w:rsidRPr="00F66630">
              <w:rPr>
                <w:rFonts w:ascii="Times New Roman" w:hAnsi="Times New Roman" w:cs="Times New Roman"/>
                <w:color w:val="000000" w:themeColor="text1"/>
              </w:rPr>
              <w:t xml:space="preserve">the policies and actions taken to </w:t>
            </w:r>
            <w:r w:rsidR="004B0ABD" w:rsidRPr="00F66630">
              <w:rPr>
                <w:rFonts w:ascii="Times New Roman" w:hAnsi="Times New Roman" w:cs="Times New Roman"/>
                <w:color w:val="000000" w:themeColor="text1"/>
              </w:rPr>
              <w:t xml:space="preserve">determine and </w:t>
            </w:r>
            <w:r w:rsidRPr="00F66630">
              <w:rPr>
                <w:rFonts w:ascii="Times New Roman" w:hAnsi="Times New Roman" w:cs="Times New Roman"/>
                <w:color w:val="000000" w:themeColor="text1"/>
              </w:rPr>
              <w:t xml:space="preserve">verify arrears, including the verification process triggered by individual contractors who submitted online queries to communicate the non-reporting of their claims to the State Ministry of </w:t>
            </w:r>
            <w:proofErr w:type="gramStart"/>
            <w:r w:rsidRPr="00F66630">
              <w:rPr>
                <w:rFonts w:ascii="Times New Roman" w:hAnsi="Times New Roman" w:cs="Times New Roman"/>
                <w:color w:val="000000" w:themeColor="text1"/>
              </w:rPr>
              <w:t>Finance;</w:t>
            </w:r>
            <w:proofErr w:type="gramEnd"/>
          </w:p>
          <w:p w14:paraId="3AF64155" w14:textId="64D214D1" w:rsidR="00BF16B9" w:rsidRPr="00F66630" w:rsidRDefault="00BF16B9" w:rsidP="00487CF4">
            <w:pPr>
              <w:pStyle w:val="ListParagraph"/>
              <w:numPr>
                <w:ilvl w:val="0"/>
                <w:numId w:val="42"/>
              </w:numPr>
              <w:rPr>
                <w:rFonts w:ascii="Times New Roman" w:hAnsi="Times New Roman" w:cs="Times New Roman"/>
                <w:color w:val="000000" w:themeColor="text1"/>
              </w:rPr>
            </w:pPr>
            <w:r w:rsidRPr="00F66630">
              <w:rPr>
                <w:rFonts w:ascii="Times New Roman" w:hAnsi="Times New Roman" w:cs="Times New Roman"/>
                <w:color w:val="000000" w:themeColor="text1"/>
              </w:rPr>
              <w:t xml:space="preserve">the policies and actions taken to settle arrears in the past year, including explanations on their consistency with the state's arrears clearance </w:t>
            </w:r>
            <w:proofErr w:type="gramStart"/>
            <w:r w:rsidRPr="00F66630">
              <w:rPr>
                <w:rFonts w:ascii="Times New Roman" w:hAnsi="Times New Roman" w:cs="Times New Roman"/>
                <w:color w:val="000000" w:themeColor="text1"/>
              </w:rPr>
              <w:t>framework;</w:t>
            </w:r>
            <w:proofErr w:type="gramEnd"/>
          </w:p>
          <w:p w14:paraId="14351E97" w14:textId="6A757BC0" w:rsidR="00BF16B9" w:rsidRPr="00F66630" w:rsidRDefault="00BF16B9" w:rsidP="00487CF4">
            <w:pPr>
              <w:pStyle w:val="ListParagraph"/>
              <w:numPr>
                <w:ilvl w:val="0"/>
                <w:numId w:val="42"/>
              </w:numPr>
              <w:rPr>
                <w:rFonts w:ascii="Times New Roman" w:hAnsi="Times New Roman" w:cs="Times New Roman"/>
              </w:rPr>
            </w:pPr>
            <w:r w:rsidRPr="00F66630">
              <w:rPr>
                <w:rFonts w:ascii="Times New Roman" w:hAnsi="Times New Roman" w:cs="Times New Roman"/>
                <w:color w:val="000000" w:themeColor="text1"/>
              </w:rPr>
              <w:t>the policies and actions taken to prevent the occurrence of new arrears in the past year (if applicable</w:t>
            </w:r>
            <w:proofErr w:type="gramStart"/>
            <w:r w:rsidRPr="00F66630">
              <w:rPr>
                <w:rFonts w:ascii="Times New Roman" w:hAnsi="Times New Roman" w:cs="Times New Roman"/>
                <w:color w:val="000000" w:themeColor="text1"/>
              </w:rPr>
              <w:t>);</w:t>
            </w:r>
            <w:proofErr w:type="gramEnd"/>
          </w:p>
          <w:p w14:paraId="54E34FFC" w14:textId="38196F2F" w:rsidR="00BF16B9" w:rsidRPr="00F66630" w:rsidRDefault="00BF16B9" w:rsidP="00487CF4">
            <w:pPr>
              <w:pStyle w:val="ListParagraph"/>
              <w:numPr>
                <w:ilvl w:val="0"/>
                <w:numId w:val="42"/>
              </w:numPr>
              <w:rPr>
                <w:rFonts w:ascii="Times New Roman" w:hAnsi="Times New Roman" w:cs="Times New Roman"/>
              </w:rPr>
            </w:pPr>
            <w:r w:rsidRPr="00F66630">
              <w:rPr>
                <w:rFonts w:ascii="Times New Roman" w:hAnsi="Times New Roman" w:cs="Times New Roman"/>
              </w:rPr>
              <w:t xml:space="preserve">attach electronic files showing evidence of the internal domestic expenditure arrears </w:t>
            </w:r>
            <w:proofErr w:type="gramStart"/>
            <w:r w:rsidRPr="00F66630">
              <w:rPr>
                <w:rFonts w:ascii="Times New Roman" w:hAnsi="Times New Roman" w:cs="Times New Roman"/>
              </w:rPr>
              <w:t>database;</w:t>
            </w:r>
            <w:proofErr w:type="gramEnd"/>
          </w:p>
          <w:p w14:paraId="2F805B2D" w14:textId="42CB3045" w:rsidR="00BF16B9" w:rsidRPr="00F66630" w:rsidRDefault="00BF16B9" w:rsidP="00487CF4">
            <w:pPr>
              <w:pStyle w:val="ListParagraph"/>
              <w:numPr>
                <w:ilvl w:val="0"/>
                <w:numId w:val="42"/>
              </w:numPr>
              <w:rPr>
                <w:rFonts w:ascii="Times New Roman" w:hAnsi="Times New Roman" w:cs="Times New Roman"/>
              </w:rPr>
            </w:pPr>
            <w:r w:rsidRPr="00F66630">
              <w:rPr>
                <w:rFonts w:ascii="Times New Roman" w:hAnsi="Times New Roman" w:cs="Times New Roman"/>
              </w:rPr>
              <w:t xml:space="preserve">the electronic link to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domestic expenditure arrears database.</w:t>
            </w:r>
          </w:p>
          <w:p w14:paraId="579D1716" w14:textId="77777777" w:rsidR="00BF16B9" w:rsidRPr="00F66630" w:rsidRDefault="00BF16B9" w:rsidP="00871362">
            <w:pPr>
              <w:rPr>
                <w:rFonts w:ascii="Times New Roman" w:hAnsi="Times New Roman" w:cs="Times New Roman"/>
              </w:rPr>
            </w:pPr>
            <w:r w:rsidRPr="00F66630">
              <w:rPr>
                <w:rFonts w:ascii="Times New Roman" w:hAnsi="Times New Roman" w:cs="Times New Roman"/>
              </w:rPr>
              <w:lastRenderedPageBreak/>
              <w:t>The IVA will carry out the following:</w:t>
            </w:r>
          </w:p>
          <w:p w14:paraId="408B8F38" w14:textId="77777777" w:rsidR="00BF16B9" w:rsidRPr="00F66630" w:rsidRDefault="00BF16B9" w:rsidP="00487CF4">
            <w:pPr>
              <w:pStyle w:val="ListParagraph"/>
              <w:numPr>
                <w:ilvl w:val="0"/>
                <w:numId w:val="39"/>
              </w:numPr>
              <w:rPr>
                <w:rFonts w:ascii="Times New Roman" w:hAnsi="Times New Roman" w:cs="Times New Roman"/>
              </w:rPr>
            </w:pPr>
            <w:r w:rsidRPr="00F66630">
              <w:rPr>
                <w:rFonts w:ascii="Times New Roman" w:hAnsi="Times New Roman" w:cs="Times New Roman"/>
              </w:rPr>
              <w:t xml:space="preserve">Obtain the annual SARVCR from each state </w:t>
            </w:r>
            <w:r w:rsidRPr="00F66630">
              <w:rPr>
                <w:rFonts w:ascii="Times New Roman" w:hAnsi="Times New Roman" w:cs="Times New Roman"/>
                <w:color w:val="000000" w:themeColor="text1"/>
              </w:rPr>
              <w:t>and supporting documents and data (as described above)</w:t>
            </w:r>
            <w:r w:rsidRPr="00F66630">
              <w:rPr>
                <w:rFonts w:ascii="Times New Roman" w:hAnsi="Times New Roman" w:cs="Times New Roman"/>
              </w:rPr>
              <w:t xml:space="preserve">. </w:t>
            </w:r>
          </w:p>
          <w:p w14:paraId="7E34601E" w14:textId="77777777" w:rsidR="00BF16B9" w:rsidRPr="00F66630" w:rsidRDefault="00BF16B9" w:rsidP="00487CF4">
            <w:pPr>
              <w:pStyle w:val="ListParagraph"/>
              <w:numPr>
                <w:ilvl w:val="0"/>
                <w:numId w:val="39"/>
              </w:numPr>
              <w:rPr>
                <w:rFonts w:ascii="Times New Roman" w:hAnsi="Times New Roman" w:cs="Times New Roman"/>
              </w:rPr>
            </w:pPr>
            <w:r w:rsidRPr="00F66630">
              <w:rPr>
                <w:rFonts w:ascii="Times New Roman" w:hAnsi="Times New Roman" w:cs="Times New Roman"/>
              </w:rPr>
              <w:t xml:space="preserve">Confirm the existence of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w:t>
            </w:r>
            <w:r w:rsidRPr="00F66630">
              <w:rPr>
                <w:rFonts w:ascii="Times New Roman" w:eastAsia="Times New Roman" w:hAnsi="Times New Roman" w:cs="Times New Roman"/>
                <w:color w:val="000000"/>
              </w:rPr>
              <w:t>domestic expenditure</w:t>
            </w:r>
            <w:r w:rsidRPr="00F66630">
              <w:rPr>
                <w:rFonts w:ascii="Times New Roman" w:hAnsi="Times New Roman" w:cs="Times New Roman"/>
              </w:rPr>
              <w:t xml:space="preserve"> arrears database on the state official website and download a copy for validation.</w:t>
            </w:r>
          </w:p>
          <w:p w14:paraId="3A584EB1" w14:textId="14496290" w:rsidR="00BF16B9" w:rsidRPr="00F66630" w:rsidRDefault="00BF16B9" w:rsidP="00487CF4">
            <w:pPr>
              <w:pStyle w:val="ListParagraph"/>
              <w:numPr>
                <w:ilvl w:val="0"/>
                <w:numId w:val="39"/>
              </w:numPr>
              <w:rPr>
                <w:rFonts w:ascii="Times New Roman" w:hAnsi="Times New Roman" w:cs="Times New Roman"/>
              </w:rPr>
            </w:pPr>
            <w:r w:rsidRPr="00F66630">
              <w:rPr>
                <w:rFonts w:ascii="Times New Roman" w:eastAsia="Times New Roman" w:hAnsi="Times New Roman" w:cs="Times New Roman"/>
                <w:color w:val="000000"/>
              </w:rPr>
              <w:t xml:space="preserve">Review </w:t>
            </w:r>
            <w:r w:rsidRPr="00F66630">
              <w:rPr>
                <w:rFonts w:ascii="Times New Roman" w:hAnsi="Times New Roman" w:cs="Times New Roman"/>
              </w:rPr>
              <w:t xml:space="preserve">the SARVCR from each state </w:t>
            </w:r>
            <w:r w:rsidRPr="00F66630">
              <w:rPr>
                <w:rFonts w:ascii="Times New Roman" w:hAnsi="Times New Roman" w:cs="Times New Roman"/>
                <w:color w:val="000000" w:themeColor="text1"/>
              </w:rPr>
              <w:t xml:space="preserve">and supporting documents and data </w:t>
            </w:r>
            <w:r w:rsidRPr="00F66630">
              <w:rPr>
                <w:rFonts w:ascii="Times New Roman" w:eastAsia="Times New Roman" w:hAnsi="Times New Roman" w:cs="Times New Roman"/>
                <w:color w:val="000000"/>
              </w:rPr>
              <w:t xml:space="preserve">and assess the following: </w:t>
            </w:r>
          </w:p>
          <w:p w14:paraId="68CFB670"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Whether the structure and content of the internal domestic expenditure arrears database contains all the information required by the DLR.</w:t>
            </w:r>
          </w:p>
          <w:p w14:paraId="0396D43D"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Compare the</w:t>
            </w:r>
            <w:r w:rsidRPr="00F66630">
              <w:rPr>
                <w:rFonts w:ascii="Times New Roman" w:eastAsia="Times New Roman" w:hAnsi="Times New Roman" w:cs="Times New Roman"/>
                <w:color w:val="000000"/>
              </w:rPr>
              <w:t xml:space="preserve"> domestic expenditure arrears at the end of each year recorded in the </w:t>
            </w:r>
            <w:r w:rsidRPr="00F66630">
              <w:rPr>
                <w:rFonts w:ascii="Times New Roman" w:hAnsi="Times New Roman" w:cs="Times New Roman"/>
              </w:rPr>
              <w:t>internal domestic expenditure arrears database with the domestic expenditure arrears reported in the state’s domestic debt reports for Q4 and highlight any material difference.</w:t>
            </w:r>
          </w:p>
          <w:p w14:paraId="4C58CAB4"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Whether the structure and content of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w:t>
            </w:r>
            <w:r w:rsidRPr="00F66630">
              <w:rPr>
                <w:rFonts w:ascii="Times New Roman" w:eastAsia="Times New Roman" w:hAnsi="Times New Roman" w:cs="Times New Roman"/>
                <w:color w:val="000000"/>
              </w:rPr>
              <w:t>domestic expenditure</w:t>
            </w:r>
            <w:r w:rsidRPr="00F66630">
              <w:rPr>
                <w:rFonts w:ascii="Times New Roman" w:hAnsi="Times New Roman" w:cs="Times New Roman"/>
              </w:rPr>
              <w:t xml:space="preserve"> arrears database contains all the information and functionality required by the DLR.</w:t>
            </w:r>
          </w:p>
          <w:p w14:paraId="05652B1E"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Assess the SARVCR to verify the completeness of </w:t>
            </w:r>
            <w:r w:rsidRPr="00F66630">
              <w:rPr>
                <w:rFonts w:ascii="Times New Roman" w:hAnsi="Times New Roman" w:cs="Times New Roman"/>
                <w:color w:val="000000" w:themeColor="text1"/>
              </w:rPr>
              <w:t>information required (as listed above).</w:t>
            </w:r>
          </w:p>
          <w:p w14:paraId="017B0FF6" w14:textId="77777777" w:rsidR="00BF16B9" w:rsidRPr="00F66630" w:rsidRDefault="00BF16B9" w:rsidP="00487CF4">
            <w:pPr>
              <w:pStyle w:val="ListParagraph"/>
              <w:numPr>
                <w:ilvl w:val="0"/>
                <w:numId w:val="39"/>
              </w:numPr>
              <w:rPr>
                <w:rFonts w:ascii="Times New Roman" w:hAnsi="Times New Roman" w:cs="Times New Roman"/>
              </w:rPr>
            </w:pPr>
            <w:r w:rsidRPr="00F66630">
              <w:rPr>
                <w:rFonts w:ascii="Times New Roman" w:eastAsia="Times New Roman" w:hAnsi="Times New Roman" w:cs="Times New Roman"/>
                <w:color w:val="000000"/>
              </w:rPr>
              <w:t xml:space="preserve">Perform additional checks if </w:t>
            </w:r>
            <w:proofErr w:type="gramStart"/>
            <w:r w:rsidRPr="00F66630">
              <w:rPr>
                <w:rFonts w:ascii="Times New Roman" w:eastAsia="Times New Roman" w:hAnsi="Times New Roman" w:cs="Times New Roman"/>
                <w:color w:val="000000"/>
              </w:rPr>
              <w:t>necessary</w:t>
            </w:r>
            <w:proofErr w:type="gramEnd"/>
            <w:r w:rsidRPr="00F66630">
              <w:rPr>
                <w:rFonts w:ascii="Times New Roman" w:eastAsia="Times New Roman" w:hAnsi="Times New Roman" w:cs="Times New Roman"/>
                <w:color w:val="000000"/>
              </w:rPr>
              <w:t xml:space="preserve"> during visits to the each of the states</w:t>
            </w:r>
            <w:r w:rsidRPr="00F66630">
              <w:rPr>
                <w:rFonts w:ascii="Times New Roman" w:hAnsi="Times New Roman" w:cs="Times New Roman"/>
              </w:rPr>
              <w:t>. On-site checks may include:</w:t>
            </w:r>
          </w:p>
          <w:p w14:paraId="69201260"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Confirm through physical verification that the internal domestic </w:t>
            </w:r>
            <w:r w:rsidRPr="00F66630">
              <w:rPr>
                <w:rFonts w:ascii="Times New Roman" w:eastAsia="Times New Roman" w:hAnsi="Times New Roman" w:cs="Times New Roman"/>
                <w:color w:val="000000"/>
              </w:rPr>
              <w:t>expenditure</w:t>
            </w:r>
            <w:r w:rsidRPr="00F66630">
              <w:rPr>
                <w:rFonts w:ascii="Times New Roman" w:hAnsi="Times New Roman" w:cs="Times New Roman"/>
              </w:rPr>
              <w:t xml:space="preserve"> arrears database is established, and it contains all the information required by the DLR.</w:t>
            </w:r>
          </w:p>
          <w:p w14:paraId="0E6DEE0E"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Conduct tests to ascertain the accuracy of the figure in the internal domestic </w:t>
            </w:r>
            <w:r w:rsidRPr="00F66630">
              <w:rPr>
                <w:rFonts w:ascii="Times New Roman" w:eastAsia="Times New Roman" w:hAnsi="Times New Roman" w:cs="Times New Roman"/>
                <w:color w:val="000000"/>
              </w:rPr>
              <w:t>expenditure</w:t>
            </w:r>
            <w:r w:rsidRPr="00F66630">
              <w:rPr>
                <w:rFonts w:ascii="Times New Roman" w:hAnsi="Times New Roman" w:cs="Times New Roman"/>
              </w:rPr>
              <w:t xml:space="preserve"> arrears database, including cross-checking with state account balances, payroll records, underlying contract data etc.</w:t>
            </w:r>
          </w:p>
          <w:p w14:paraId="2A5253B9" w14:textId="6F923D85"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Compare the aggregate and individual information available on the online </w:t>
            </w:r>
            <w:proofErr w:type="gramStart"/>
            <w:r w:rsidRPr="00F66630">
              <w:rPr>
                <w:rFonts w:ascii="Times New Roman" w:hAnsi="Times New Roman" w:cs="Times New Roman"/>
              </w:rPr>
              <w:t>publicly-accessible</w:t>
            </w:r>
            <w:proofErr w:type="gramEnd"/>
            <w:r w:rsidRPr="00F66630">
              <w:rPr>
                <w:rFonts w:ascii="Times New Roman" w:hAnsi="Times New Roman" w:cs="Times New Roman"/>
              </w:rPr>
              <w:t xml:space="preserve"> </w:t>
            </w:r>
            <w:r w:rsidRPr="00F66630">
              <w:rPr>
                <w:rFonts w:ascii="Times New Roman" w:eastAsia="Times New Roman" w:hAnsi="Times New Roman" w:cs="Times New Roman"/>
                <w:color w:val="000000"/>
              </w:rPr>
              <w:t>domestic expenditure</w:t>
            </w:r>
            <w:r w:rsidRPr="00F66630">
              <w:rPr>
                <w:rFonts w:ascii="Times New Roman" w:hAnsi="Times New Roman" w:cs="Times New Roman"/>
              </w:rPr>
              <w:t xml:space="preserve"> arrears database with the information in the internal domestic </w:t>
            </w:r>
            <w:r w:rsidRPr="00F66630">
              <w:rPr>
                <w:rFonts w:ascii="Times New Roman" w:eastAsia="Times New Roman" w:hAnsi="Times New Roman" w:cs="Times New Roman"/>
                <w:color w:val="000000"/>
              </w:rPr>
              <w:t>expenditure</w:t>
            </w:r>
            <w:r w:rsidRPr="00F66630">
              <w:rPr>
                <w:rFonts w:ascii="Times New Roman" w:hAnsi="Times New Roman" w:cs="Times New Roman"/>
              </w:rPr>
              <w:t xml:space="preserve"> arrears database and verify the consistency and accuracy of the information on the online publicly-accessible </w:t>
            </w:r>
            <w:r w:rsidRPr="00F66630">
              <w:rPr>
                <w:rFonts w:ascii="Times New Roman" w:eastAsia="Times New Roman" w:hAnsi="Times New Roman" w:cs="Times New Roman"/>
                <w:color w:val="000000"/>
              </w:rPr>
              <w:t>domestic expenditure</w:t>
            </w:r>
            <w:r w:rsidRPr="00F66630">
              <w:rPr>
                <w:rFonts w:ascii="Times New Roman" w:hAnsi="Times New Roman" w:cs="Times New Roman"/>
              </w:rPr>
              <w:t xml:space="preserve"> arrears database</w:t>
            </w:r>
            <w:r w:rsidR="00CB33D4" w:rsidRPr="00F66630">
              <w:rPr>
                <w:rFonts w:ascii="Times New Roman" w:hAnsi="Times New Roman" w:cs="Times New Roman"/>
              </w:rPr>
              <w:t xml:space="preserve"> on a sample basis</w:t>
            </w:r>
            <w:r w:rsidRPr="00F66630">
              <w:rPr>
                <w:rFonts w:ascii="Times New Roman" w:hAnsi="Times New Roman" w:cs="Times New Roman"/>
              </w:rPr>
              <w:t>.</w:t>
            </w:r>
          </w:p>
          <w:p w14:paraId="3362A25F" w14:textId="77777777"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Confirm that the online webpages include a facility for creditors to report any omissions to the State. Test the facility and record the results of the test. </w:t>
            </w:r>
          </w:p>
          <w:p w14:paraId="69FBD8E5" w14:textId="0AD04D0F" w:rsidR="00BF16B9" w:rsidRPr="00F66630" w:rsidRDefault="00BF16B9" w:rsidP="00487CF4">
            <w:pPr>
              <w:pStyle w:val="ListParagraph"/>
              <w:numPr>
                <w:ilvl w:val="1"/>
                <w:numId w:val="39"/>
              </w:numPr>
              <w:rPr>
                <w:rFonts w:ascii="Times New Roman" w:hAnsi="Times New Roman" w:cs="Times New Roman"/>
              </w:rPr>
            </w:pPr>
            <w:r w:rsidRPr="00F66630">
              <w:rPr>
                <w:rFonts w:ascii="Times New Roman" w:hAnsi="Times New Roman" w:cs="Times New Roman"/>
              </w:rPr>
              <w:t xml:space="preserve">Obtain records from the state on the omissions reported by contractors in each year and how they were treated. Confirm that any omissions that were found to be valid were subsequently included </w:t>
            </w:r>
            <w:r w:rsidR="00E000B7" w:rsidRPr="00F66630">
              <w:rPr>
                <w:rFonts w:ascii="Times New Roman" w:hAnsi="Times New Roman" w:cs="Times New Roman"/>
              </w:rPr>
              <w:t xml:space="preserve">in </w:t>
            </w:r>
            <w:r w:rsidRPr="00F66630">
              <w:rPr>
                <w:rFonts w:ascii="Times New Roman" w:hAnsi="Times New Roman" w:cs="Times New Roman"/>
              </w:rPr>
              <w:t xml:space="preserve">the internal domestic </w:t>
            </w:r>
            <w:r w:rsidRPr="00F66630">
              <w:rPr>
                <w:rFonts w:ascii="Times New Roman" w:eastAsia="Times New Roman" w:hAnsi="Times New Roman" w:cs="Times New Roman"/>
                <w:color w:val="000000"/>
              </w:rPr>
              <w:t>expenditure</w:t>
            </w:r>
            <w:r w:rsidRPr="00F66630">
              <w:rPr>
                <w:rFonts w:ascii="Times New Roman" w:hAnsi="Times New Roman" w:cs="Times New Roman"/>
              </w:rPr>
              <w:t xml:space="preserve"> arrears database.</w:t>
            </w:r>
          </w:p>
          <w:p w14:paraId="7DBCC6D8" w14:textId="742901E1" w:rsidR="00BF16B9" w:rsidRPr="00F66630" w:rsidRDefault="00BF16B9" w:rsidP="00487CF4">
            <w:pPr>
              <w:pStyle w:val="ListParagraph"/>
              <w:numPr>
                <w:ilvl w:val="0"/>
                <w:numId w:val="39"/>
              </w:numPr>
              <w:rPr>
                <w:rFonts w:ascii="Times New Roman" w:eastAsia="Times New Roman" w:hAnsi="Times New Roman" w:cs="Times New Roman"/>
                <w:color w:val="000000"/>
              </w:rPr>
            </w:pPr>
            <w:r w:rsidRPr="00F66630">
              <w:rPr>
                <w:rFonts w:ascii="Times New Roman" w:eastAsia="Times New Roman" w:hAnsi="Times New Roman" w:cs="Times New Roman"/>
                <w:color w:val="000000"/>
              </w:rPr>
              <w:t>For those states which the IVA verifies as having a credible domestic expenditure</w:t>
            </w:r>
            <w:r w:rsidRPr="00F66630">
              <w:rPr>
                <w:rFonts w:ascii="Times New Roman" w:hAnsi="Times New Roman" w:cs="Times New Roman"/>
              </w:rPr>
              <w:t xml:space="preserve"> </w:t>
            </w:r>
            <w:r w:rsidRPr="00F66630">
              <w:rPr>
                <w:rFonts w:ascii="Times New Roman" w:eastAsia="Times New Roman" w:hAnsi="Times New Roman" w:cs="Times New Roman"/>
                <w:color w:val="000000"/>
              </w:rPr>
              <w:t>arrears database and have cleared arrears consistent with the arrears clearance framework of the State</w:t>
            </w:r>
            <w:r w:rsidR="00E000B7" w:rsidRPr="00F66630">
              <w:rPr>
                <w:rFonts w:ascii="Times New Roman" w:eastAsia="Times New Roman" w:hAnsi="Times New Roman" w:cs="Times New Roman"/>
                <w:color w:val="000000"/>
              </w:rPr>
              <w:t>,</w:t>
            </w:r>
            <w:r w:rsidRPr="00F66630">
              <w:rPr>
                <w:rFonts w:ascii="Times New Roman" w:eastAsia="Times New Roman" w:hAnsi="Times New Roman" w:cs="Times New Roman"/>
                <w:color w:val="000000"/>
              </w:rPr>
              <w:t xml:space="preserve"> conduct calculations to assess whether they have met either the basic or stretch targets.</w:t>
            </w:r>
          </w:p>
          <w:p w14:paraId="11037FA5" w14:textId="77777777" w:rsidR="000A3D39" w:rsidRPr="00F66630" w:rsidRDefault="000A3D39" w:rsidP="00871362">
            <w:pPr>
              <w:rPr>
                <w:rFonts w:ascii="Times New Roman" w:hAnsi="Times New Roman" w:cs="Times New Roman"/>
                <w:b/>
              </w:rPr>
            </w:pPr>
          </w:p>
          <w:p w14:paraId="05BF2DE5" w14:textId="0DBEF5B0" w:rsidR="00BF16B9" w:rsidRPr="00F66630" w:rsidRDefault="00BF16B9" w:rsidP="00871362">
            <w:pPr>
              <w:rPr>
                <w:rFonts w:ascii="Times New Roman" w:hAnsi="Times New Roman" w:cs="Times New Roman"/>
                <w:b/>
              </w:rPr>
            </w:pPr>
            <w:r w:rsidRPr="00F66630">
              <w:rPr>
                <w:rFonts w:ascii="Times New Roman" w:hAnsi="Times New Roman" w:cs="Times New Roman"/>
                <w:b/>
              </w:rPr>
              <w:t>For the State Arrears Clearance Framework</w:t>
            </w:r>
          </w:p>
          <w:p w14:paraId="12506BAF" w14:textId="3C824A3C" w:rsidR="00BF16B9" w:rsidRPr="00F66630" w:rsidRDefault="00BF16B9" w:rsidP="00871362">
            <w:pPr>
              <w:rPr>
                <w:rFonts w:ascii="Times New Roman" w:hAnsi="Times New Roman" w:cs="Times New Roman"/>
              </w:rPr>
            </w:pPr>
            <w:r w:rsidRPr="00F66630">
              <w:rPr>
                <w:rFonts w:ascii="Times New Roman" w:hAnsi="Times New Roman" w:cs="Times New Roman"/>
              </w:rPr>
              <w:t xml:space="preserve">The State Ministry of Finance submits the state </w:t>
            </w:r>
            <w:r w:rsidRPr="00F66630">
              <w:rPr>
                <w:rFonts w:ascii="Times New Roman" w:eastAsia="Times New Roman" w:hAnsi="Times New Roman" w:cs="Times New Roman"/>
                <w:bCs/>
                <w:iCs/>
              </w:rPr>
              <w:t xml:space="preserve">domestic expenditure </w:t>
            </w:r>
            <w:r w:rsidRPr="00F66630">
              <w:rPr>
                <w:rFonts w:ascii="Times New Roman" w:hAnsi="Times New Roman" w:cs="Times New Roman"/>
              </w:rPr>
              <w:t>arrears clearance framework (ACF) to the IVA, including the link to the state official website where it is published. States shall submit the ACF for assessment to the IVA within one month after its establishment.</w:t>
            </w:r>
          </w:p>
          <w:p w14:paraId="323FC29C" w14:textId="77777777" w:rsidR="00BF16B9" w:rsidRPr="00F66630" w:rsidRDefault="00BF16B9" w:rsidP="00871362">
            <w:pPr>
              <w:rPr>
                <w:rFonts w:ascii="Times New Roman" w:hAnsi="Times New Roman" w:cs="Times New Roman"/>
              </w:rPr>
            </w:pPr>
          </w:p>
          <w:p w14:paraId="5319B0B0" w14:textId="3FB534F9" w:rsidR="00BF16B9" w:rsidRPr="00F66630" w:rsidRDefault="00BF16B9" w:rsidP="00871362">
            <w:pPr>
              <w:rPr>
                <w:rFonts w:ascii="Times New Roman" w:hAnsi="Times New Roman" w:cs="Times New Roman"/>
              </w:rPr>
            </w:pPr>
            <w:r w:rsidRPr="00F66630">
              <w:rPr>
                <w:rFonts w:ascii="Times New Roman" w:hAnsi="Times New Roman" w:cs="Times New Roman"/>
              </w:rPr>
              <w:t>The IVA</w:t>
            </w:r>
            <w:r w:rsidRPr="00F66630" w:rsidDel="002701FF">
              <w:rPr>
                <w:rFonts w:ascii="Times New Roman" w:hAnsi="Times New Roman" w:cs="Times New Roman"/>
              </w:rPr>
              <w:t xml:space="preserve"> </w:t>
            </w:r>
            <w:r w:rsidRPr="00F66630">
              <w:rPr>
                <w:rFonts w:ascii="Times New Roman" w:hAnsi="Times New Roman" w:cs="Times New Roman"/>
              </w:rPr>
              <w:t>will carry out the following:</w:t>
            </w:r>
          </w:p>
          <w:p w14:paraId="1B9C3DDC" w14:textId="77777777" w:rsidR="00BF16B9" w:rsidRPr="00F66630" w:rsidRDefault="00BF16B9" w:rsidP="00487CF4">
            <w:pPr>
              <w:pStyle w:val="ListParagraph"/>
              <w:numPr>
                <w:ilvl w:val="0"/>
                <w:numId w:val="43"/>
              </w:numPr>
              <w:rPr>
                <w:rFonts w:ascii="Times New Roman" w:hAnsi="Times New Roman" w:cs="Times New Roman"/>
              </w:rPr>
            </w:pPr>
            <w:r w:rsidRPr="00F66630">
              <w:rPr>
                <w:rFonts w:ascii="Times New Roman" w:hAnsi="Times New Roman" w:cs="Times New Roman"/>
              </w:rPr>
              <w:t xml:space="preserve">Obtain the state </w:t>
            </w:r>
            <w:r w:rsidRPr="00F66630">
              <w:rPr>
                <w:rFonts w:ascii="Times New Roman" w:eastAsia="Times New Roman" w:hAnsi="Times New Roman" w:cs="Times New Roman"/>
                <w:bCs/>
                <w:iCs/>
              </w:rPr>
              <w:t xml:space="preserve">domestic expenditure </w:t>
            </w:r>
            <w:r w:rsidRPr="00F66630">
              <w:rPr>
                <w:rFonts w:ascii="Times New Roman" w:hAnsi="Times New Roman" w:cs="Times New Roman"/>
              </w:rPr>
              <w:t xml:space="preserve">arrears clearance framework (ACF) from each state. </w:t>
            </w:r>
          </w:p>
          <w:p w14:paraId="53FDE64E" w14:textId="77777777" w:rsidR="00BF16B9" w:rsidRPr="00F66630" w:rsidRDefault="00BF16B9" w:rsidP="00487CF4">
            <w:pPr>
              <w:pStyle w:val="ListParagraph"/>
              <w:numPr>
                <w:ilvl w:val="0"/>
                <w:numId w:val="43"/>
              </w:numPr>
              <w:rPr>
                <w:rFonts w:ascii="Times New Roman" w:hAnsi="Times New Roman" w:cs="Times New Roman"/>
              </w:rPr>
            </w:pPr>
            <w:r w:rsidRPr="00F66630">
              <w:rPr>
                <w:rFonts w:ascii="Times New Roman" w:hAnsi="Times New Roman" w:cs="Times New Roman"/>
              </w:rPr>
              <w:t>Confirm the existence of the ACF on the state official website and download a copy for validation.</w:t>
            </w:r>
          </w:p>
          <w:p w14:paraId="2E5686DF" w14:textId="77777777" w:rsidR="00BF16B9" w:rsidRPr="00F66630" w:rsidRDefault="00BF16B9" w:rsidP="00487CF4">
            <w:pPr>
              <w:pStyle w:val="ListParagraph"/>
              <w:numPr>
                <w:ilvl w:val="0"/>
                <w:numId w:val="43"/>
              </w:numPr>
            </w:pPr>
            <w:r w:rsidRPr="00F66630">
              <w:rPr>
                <w:rFonts w:ascii="Times New Roman" w:eastAsia="Times New Roman" w:hAnsi="Times New Roman" w:cs="Times New Roman"/>
                <w:color w:val="000000"/>
              </w:rPr>
              <w:t>Assess the State ACF for adequacy</w:t>
            </w:r>
            <w:r w:rsidR="00CB33D4" w:rsidRPr="00F66630">
              <w:rPr>
                <w:rFonts w:ascii="Times New Roman" w:hAnsi="Times New Roman" w:cs="Times New Roman"/>
              </w:rPr>
              <w:t xml:space="preserve"> and</w:t>
            </w:r>
            <w:r w:rsidRPr="00F66630">
              <w:rPr>
                <w:rFonts w:ascii="Times New Roman" w:hAnsi="Times New Roman" w:cs="Times New Roman"/>
              </w:rPr>
              <w:t xml:space="preserve"> to verify the inclusion of provisions establishing the planned actions to settle arrears and an explicit </w:t>
            </w:r>
            <w:r w:rsidR="00CB33D4" w:rsidRPr="00F66630">
              <w:rPr>
                <w:rFonts w:ascii="Times New Roman" w:hAnsi="Times New Roman" w:cs="Times New Roman"/>
              </w:rPr>
              <w:t xml:space="preserve">methodology for </w:t>
            </w:r>
            <w:r w:rsidRPr="00F66630">
              <w:rPr>
                <w:rFonts w:ascii="Times New Roman" w:hAnsi="Times New Roman" w:cs="Times New Roman"/>
              </w:rPr>
              <w:t>prioritization of expenditure arrears to be settled</w:t>
            </w:r>
            <w:r w:rsidRPr="00F66630">
              <w:rPr>
                <w:rFonts w:ascii="Times New Roman" w:hAnsi="Times New Roman" w:cs="Times New Roman"/>
                <w:color w:val="000000" w:themeColor="text1"/>
              </w:rPr>
              <w:t>.</w:t>
            </w:r>
          </w:p>
          <w:p w14:paraId="5FDC5324" w14:textId="67D9EC99" w:rsidR="000A3D39" w:rsidRPr="00F66630" w:rsidRDefault="000A3D39" w:rsidP="000A3D39">
            <w:pPr>
              <w:pStyle w:val="ListParagraph"/>
            </w:pPr>
          </w:p>
        </w:tc>
      </w:tr>
      <w:tr w:rsidR="00BF16B9" w:rsidRPr="00F66630" w14:paraId="020AA3AF" w14:textId="77777777" w:rsidTr="00406AD8">
        <w:trPr>
          <w:trHeight w:val="368"/>
        </w:trPr>
        <w:tc>
          <w:tcPr>
            <w:tcW w:w="5000" w:type="pct"/>
            <w:gridSpan w:val="2"/>
            <w:shd w:val="clear" w:color="auto" w:fill="EAF1DD" w:themeFill="accent3" w:themeFillTint="33"/>
          </w:tcPr>
          <w:p w14:paraId="18F820AF" w14:textId="215CF1A7" w:rsidR="00BF16B9" w:rsidRPr="00F66630" w:rsidRDefault="00BF16B9" w:rsidP="00871362">
            <w:pPr>
              <w:pStyle w:val="Heading3"/>
              <w:numPr>
                <w:ilvl w:val="0"/>
                <w:numId w:val="0"/>
              </w:numPr>
              <w:outlineLvl w:val="2"/>
              <w:rPr>
                <w:rFonts w:cs="Times New Roman"/>
                <w:b w:val="0"/>
                <w:color w:val="000000"/>
              </w:rPr>
            </w:pPr>
            <w:r w:rsidRPr="00F66630">
              <w:lastRenderedPageBreak/>
              <w:br w:type="page"/>
            </w:r>
            <w:r w:rsidR="00BB1303" w:rsidRPr="00F66630">
              <w:rPr>
                <w:sz w:val="22"/>
                <w:szCs w:val="22"/>
              </w:rPr>
              <w:br w:type="page"/>
            </w:r>
            <w:bookmarkStart w:id="34" w:name="_Toc107345855"/>
            <w:r w:rsidR="00BB1303" w:rsidRPr="00F66630">
              <w:rPr>
                <w:sz w:val="22"/>
                <w:szCs w:val="22"/>
              </w:rPr>
              <w:t xml:space="preserve">ORIGINAL </w:t>
            </w:r>
            <w:r w:rsidRPr="00F66630">
              <w:rPr>
                <w:rFonts w:ascii="Times New Roman Bold" w:eastAsia="Calibri" w:hAnsi="Times New Roman Bold"/>
                <w:sz w:val="22"/>
                <w:szCs w:val="22"/>
              </w:rPr>
              <w:t>DLI 9: Improved debt sustainability</w:t>
            </w:r>
            <w:bookmarkEnd w:id="34"/>
            <w:r w:rsidRPr="00F66630">
              <w:rPr>
                <w:rFonts w:cs="Times New Roman"/>
                <w:b w:val="0"/>
                <w:color w:val="000000"/>
              </w:rPr>
              <w:t xml:space="preserve"> </w:t>
            </w:r>
          </w:p>
        </w:tc>
      </w:tr>
      <w:tr w:rsidR="00BF16B9" w:rsidRPr="00F66630" w14:paraId="6051D917" w14:textId="77777777" w:rsidTr="00406AD8">
        <w:trPr>
          <w:trHeight w:val="470"/>
        </w:trPr>
        <w:tc>
          <w:tcPr>
            <w:tcW w:w="977" w:type="pct"/>
            <w:shd w:val="clear" w:color="auto" w:fill="FDE9D9" w:themeFill="accent6" w:themeFillTint="33"/>
          </w:tcPr>
          <w:p w14:paraId="6D361656" w14:textId="77777777" w:rsidR="00BF16B9" w:rsidRPr="00F66630" w:rsidRDefault="00BF16B9" w:rsidP="00871362">
            <w:pPr>
              <w:rPr>
                <w:rFonts w:ascii="Times New Roman" w:hAnsi="Times New Roman" w:cs="Times New Roman"/>
                <w:b/>
                <w:i/>
              </w:rPr>
            </w:pPr>
            <w:r w:rsidRPr="00F66630">
              <w:rPr>
                <w:rFonts w:ascii="Times New Roman" w:hAnsi="Times New Roman" w:cs="Times New Roman"/>
                <w:b/>
                <w:i/>
              </w:rPr>
              <w:t>DLR description as per DLI Matrix</w:t>
            </w:r>
          </w:p>
        </w:tc>
        <w:tc>
          <w:tcPr>
            <w:tcW w:w="4023" w:type="pct"/>
            <w:shd w:val="clear" w:color="auto" w:fill="FDE9D9" w:themeFill="accent6" w:themeFillTint="33"/>
          </w:tcPr>
          <w:p w14:paraId="4F03D010" w14:textId="77777777" w:rsidR="00BF16B9" w:rsidRPr="00F66630" w:rsidRDefault="00BF16B9" w:rsidP="00871362">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BF16B9" w:rsidRPr="00F66630" w14:paraId="71CBBE18" w14:textId="77777777" w:rsidTr="00406AD8">
        <w:trPr>
          <w:trHeight w:val="800"/>
        </w:trPr>
        <w:tc>
          <w:tcPr>
            <w:tcW w:w="977" w:type="pct"/>
          </w:tcPr>
          <w:p w14:paraId="458BB97F" w14:textId="77777777" w:rsidR="00406AD8" w:rsidRPr="00F66630" w:rsidRDefault="00406AD8" w:rsidP="00406AD8">
            <w:pPr>
              <w:rPr>
                <w:rFonts w:ascii="Times New Roman" w:hAnsi="Times New Roman" w:cs="Times New Roman"/>
                <w:b/>
                <w:bCs/>
                <w:sz w:val="24"/>
                <w:szCs w:val="24"/>
              </w:rPr>
            </w:pPr>
          </w:p>
          <w:p w14:paraId="683C45C2" w14:textId="52093038" w:rsidR="00406AD8" w:rsidRPr="00F66630" w:rsidRDefault="00406AD8" w:rsidP="00406AD8">
            <w:pPr>
              <w:rPr>
                <w:rFonts w:ascii="Times New Roman" w:hAnsi="Times New Roman" w:cs="Times New Roman"/>
                <w:b/>
                <w:bCs/>
                <w:sz w:val="24"/>
                <w:szCs w:val="24"/>
              </w:rPr>
            </w:pPr>
            <w:r w:rsidRPr="00F66630">
              <w:rPr>
                <w:rFonts w:ascii="Times New Roman" w:hAnsi="Times New Roman" w:cs="Times New Roman"/>
                <w:b/>
                <w:bCs/>
                <w:sz w:val="24"/>
                <w:szCs w:val="24"/>
              </w:rPr>
              <w:t>Year 3/2020 DLR</w:t>
            </w:r>
          </w:p>
          <w:p w14:paraId="7BB27843" w14:textId="77777777" w:rsidR="00406AD8" w:rsidRPr="00F66630" w:rsidRDefault="00406AD8" w:rsidP="00406AD8">
            <w:pPr>
              <w:rPr>
                <w:rFonts w:ascii="Times New Roman" w:hAnsi="Times New Roman" w:cs="Times New Roman"/>
                <w:sz w:val="24"/>
                <w:szCs w:val="24"/>
              </w:rPr>
            </w:pPr>
          </w:p>
          <w:p w14:paraId="09888EAF" w14:textId="1C581F38"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2020 as a share of total revenue for FY2020 meets target: </w:t>
            </w:r>
          </w:p>
          <w:p w14:paraId="56D678C9" w14:textId="77777777"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7CE48D1C" w14:textId="77777777"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sz w:val="24"/>
                <w:szCs w:val="24"/>
              </w:rPr>
              <w:t>&lt; 150%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6DEBFC0C" w14:textId="77777777" w:rsidR="00BF16B9" w:rsidRPr="00F66630" w:rsidRDefault="00406AD8" w:rsidP="00406AD8">
            <w:pPr>
              <w:rPr>
                <w:rFonts w:ascii="Times New Roman" w:hAnsi="Times New Roman" w:cs="Times New Roman"/>
                <w:sz w:val="24"/>
                <w:szCs w:val="24"/>
              </w:rPr>
            </w:pPr>
            <w:r w:rsidRPr="00F66630">
              <w:rPr>
                <w:rFonts w:ascii="Times New Roman" w:hAnsi="Times New Roman" w:cs="Times New Roman"/>
                <w:sz w:val="24"/>
                <w:szCs w:val="24"/>
              </w:rPr>
              <w:t>&lt; 125%</w:t>
            </w:r>
          </w:p>
          <w:p w14:paraId="2A9E5AD3" w14:textId="77777777" w:rsidR="00406AD8" w:rsidRPr="00F66630" w:rsidRDefault="00406AD8" w:rsidP="00406AD8">
            <w:pPr>
              <w:rPr>
                <w:rFonts w:ascii="Times New Roman" w:eastAsia="Times New Roman" w:hAnsi="Times New Roman" w:cs="Times New Roman"/>
                <w:b/>
                <w:bCs/>
                <w:color w:val="000000"/>
              </w:rPr>
            </w:pPr>
          </w:p>
          <w:p w14:paraId="188A9933" w14:textId="77777777" w:rsidR="00406AD8" w:rsidRPr="00F66630" w:rsidRDefault="00406AD8" w:rsidP="00406AD8">
            <w:pPr>
              <w:rPr>
                <w:rFonts w:ascii="Times New Roman" w:eastAsia="Times New Roman" w:hAnsi="Times New Roman" w:cs="Times New Roman"/>
                <w:b/>
                <w:bCs/>
                <w:color w:val="000000"/>
              </w:rPr>
            </w:pPr>
          </w:p>
          <w:p w14:paraId="1823F0FA" w14:textId="19289A64" w:rsidR="00406AD8" w:rsidRPr="00F66630" w:rsidRDefault="00406AD8" w:rsidP="00406AD8">
            <w:pPr>
              <w:rPr>
                <w:rFonts w:ascii="Times New Roman" w:hAnsi="Times New Roman" w:cs="Times New Roman"/>
                <w:b/>
                <w:bCs/>
                <w:sz w:val="24"/>
                <w:szCs w:val="24"/>
              </w:rPr>
            </w:pPr>
            <w:r w:rsidRPr="00F66630">
              <w:rPr>
                <w:rFonts w:ascii="Times New Roman" w:hAnsi="Times New Roman" w:cs="Times New Roman"/>
                <w:b/>
                <w:bCs/>
                <w:sz w:val="24"/>
                <w:szCs w:val="24"/>
              </w:rPr>
              <w:t>Year 4/2021 DLR</w:t>
            </w:r>
          </w:p>
          <w:p w14:paraId="45B7AE51" w14:textId="32A737E9" w:rsidR="00406AD8" w:rsidRPr="00F66630" w:rsidRDefault="00406AD8" w:rsidP="00406AD8">
            <w:pPr>
              <w:rPr>
                <w:rFonts w:ascii="Times New Roman" w:hAnsi="Times New Roman" w:cs="Times New Roman"/>
                <w:b/>
                <w:bCs/>
                <w:sz w:val="24"/>
                <w:szCs w:val="24"/>
              </w:rPr>
            </w:pPr>
          </w:p>
          <w:p w14:paraId="54BEA67C" w14:textId="77777777" w:rsidR="00406AD8" w:rsidRPr="00F66630" w:rsidRDefault="00406AD8" w:rsidP="00406AD8">
            <w:pPr>
              <w:spacing w:after="120"/>
              <w:rPr>
                <w:rFonts w:ascii="Times New Roman" w:hAnsi="Times New Roman" w:cs="Times New Roman"/>
                <w:sz w:val="24"/>
                <w:szCs w:val="24"/>
              </w:rPr>
            </w:pPr>
            <w:r w:rsidRPr="00F66630">
              <w:rPr>
                <w:rFonts w:ascii="Times New Roman" w:hAnsi="Times New Roman" w:cs="Times New Roman"/>
                <w:sz w:val="24"/>
                <w:szCs w:val="24"/>
              </w:rPr>
              <w:t>Average monthly debt service deduction is &lt; 40% of gross FAAC allocation for FY2021</w:t>
            </w:r>
          </w:p>
          <w:p w14:paraId="3105C880" w14:textId="77777777" w:rsidR="00406AD8" w:rsidRPr="00F66630" w:rsidRDefault="00406AD8" w:rsidP="00406AD8">
            <w:pPr>
              <w:spacing w:after="120"/>
              <w:rPr>
                <w:rFonts w:ascii="Times New Roman" w:hAnsi="Times New Roman" w:cs="Times New Roman"/>
                <w:sz w:val="24"/>
                <w:szCs w:val="24"/>
              </w:rPr>
            </w:pPr>
            <w:r w:rsidRPr="00F66630">
              <w:rPr>
                <w:rFonts w:ascii="Times New Roman" w:hAnsi="Times New Roman" w:cs="Times New Roman"/>
                <w:sz w:val="24"/>
                <w:szCs w:val="24"/>
              </w:rPr>
              <w:t>AND</w:t>
            </w:r>
          </w:p>
          <w:p w14:paraId="45E9AE17" w14:textId="77777777"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sz w:val="24"/>
                <w:szCs w:val="24"/>
              </w:rPr>
              <w:t xml:space="preserve">Total debt stock at end of December 2021 as a share of total revenue for FY 2021 meets target: </w:t>
            </w:r>
          </w:p>
          <w:p w14:paraId="30C88F29" w14:textId="77777777"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b/>
                <w:sz w:val="24"/>
                <w:szCs w:val="24"/>
              </w:rPr>
              <w:t>-Basic target:</w:t>
            </w:r>
            <w:r w:rsidRPr="00F66630">
              <w:rPr>
                <w:rFonts w:ascii="Times New Roman" w:hAnsi="Times New Roman" w:cs="Times New Roman"/>
                <w:sz w:val="24"/>
                <w:szCs w:val="24"/>
              </w:rPr>
              <w:t xml:space="preserve"> </w:t>
            </w:r>
          </w:p>
          <w:p w14:paraId="1928D377" w14:textId="77777777" w:rsidR="00406AD8" w:rsidRPr="00F66630" w:rsidRDefault="00406AD8" w:rsidP="00406AD8">
            <w:pPr>
              <w:rPr>
                <w:rFonts w:ascii="Times New Roman" w:hAnsi="Times New Roman" w:cs="Times New Roman"/>
                <w:sz w:val="24"/>
                <w:szCs w:val="24"/>
              </w:rPr>
            </w:pPr>
            <w:r w:rsidRPr="00F66630">
              <w:rPr>
                <w:rFonts w:ascii="Times New Roman" w:hAnsi="Times New Roman" w:cs="Times New Roman"/>
                <w:sz w:val="24"/>
                <w:szCs w:val="24"/>
              </w:rPr>
              <w:t>&lt; 120%</w:t>
            </w:r>
            <w:r w:rsidRPr="00F66630">
              <w:rPr>
                <w:rFonts w:ascii="Times New Roman" w:hAnsi="Times New Roman" w:cs="Times New Roman"/>
                <w:sz w:val="24"/>
                <w:szCs w:val="24"/>
              </w:rPr>
              <w:br/>
            </w:r>
            <w:r w:rsidRPr="00F66630">
              <w:rPr>
                <w:rFonts w:ascii="Times New Roman" w:hAnsi="Times New Roman" w:cs="Times New Roman"/>
                <w:b/>
                <w:sz w:val="24"/>
                <w:szCs w:val="24"/>
              </w:rPr>
              <w:t>-Stretch target:</w:t>
            </w:r>
            <w:r w:rsidRPr="00F66630">
              <w:rPr>
                <w:rFonts w:ascii="Times New Roman" w:hAnsi="Times New Roman" w:cs="Times New Roman"/>
                <w:sz w:val="24"/>
                <w:szCs w:val="24"/>
              </w:rPr>
              <w:t xml:space="preserve"> </w:t>
            </w:r>
          </w:p>
          <w:p w14:paraId="5418C15B" w14:textId="4E453F37" w:rsidR="00406AD8" w:rsidRPr="00F66630" w:rsidRDefault="00406AD8" w:rsidP="00406AD8">
            <w:pPr>
              <w:rPr>
                <w:rFonts w:ascii="Times New Roman" w:hAnsi="Times New Roman" w:cs="Times New Roman"/>
                <w:b/>
                <w:bCs/>
                <w:sz w:val="24"/>
                <w:szCs w:val="24"/>
              </w:rPr>
            </w:pPr>
            <w:r w:rsidRPr="00F66630">
              <w:rPr>
                <w:rFonts w:ascii="Times New Roman" w:hAnsi="Times New Roman" w:cs="Times New Roman"/>
                <w:sz w:val="24"/>
                <w:szCs w:val="24"/>
              </w:rPr>
              <w:t>&lt; 95%</w:t>
            </w:r>
          </w:p>
          <w:p w14:paraId="707B5EFA" w14:textId="180F2852" w:rsidR="00406AD8" w:rsidRPr="00F66630" w:rsidRDefault="00406AD8" w:rsidP="00406AD8">
            <w:pPr>
              <w:rPr>
                <w:rFonts w:ascii="Times New Roman" w:eastAsia="Times New Roman" w:hAnsi="Times New Roman" w:cs="Times New Roman"/>
                <w:b/>
                <w:bCs/>
                <w:color w:val="000000"/>
              </w:rPr>
            </w:pPr>
          </w:p>
        </w:tc>
        <w:tc>
          <w:tcPr>
            <w:tcW w:w="4023" w:type="pct"/>
          </w:tcPr>
          <w:p w14:paraId="47F7851F" w14:textId="19E0AEF3" w:rsidR="00BF16B9" w:rsidRPr="00F66630" w:rsidRDefault="00BF16B9" w:rsidP="00871362">
            <w:pPr>
              <w:spacing w:after="120"/>
              <w:rPr>
                <w:rFonts w:ascii="Times New Roman" w:hAnsi="Times New Roman" w:cs="Times New Roman"/>
              </w:rPr>
            </w:pPr>
            <w:r w:rsidRPr="00F66630">
              <w:rPr>
                <w:rFonts w:ascii="Times New Roman" w:eastAsia="Times New Roman" w:hAnsi="Times New Roman" w:cs="Times New Roman"/>
                <w:bCs/>
                <w:color w:val="000000"/>
              </w:rPr>
              <w:t xml:space="preserve">Strengthened debt sustainability results from achieving levels of debt indicators that are below the debt thresholds established in DLI 9. Two debt indicators are to be observed: (i) the ratio of total </w:t>
            </w:r>
            <w:r w:rsidRPr="00F66630">
              <w:rPr>
                <w:rFonts w:ascii="Times New Roman" w:hAnsi="Times New Roman" w:cs="Times New Roman"/>
              </w:rPr>
              <w:t xml:space="preserve">monthly debt service (principal and interest) deductions from FAAC allocation during the calendar year of the year of assessment </w:t>
            </w:r>
            <w:r w:rsidRPr="00F66630">
              <w:rPr>
                <w:rFonts w:ascii="Times New Roman" w:eastAsia="Times New Roman" w:hAnsi="Times New Roman" w:cs="Times New Roman"/>
                <w:bCs/>
                <w:color w:val="000000"/>
              </w:rPr>
              <w:t>(1</w:t>
            </w:r>
            <w:r w:rsidRPr="00F66630">
              <w:rPr>
                <w:rFonts w:ascii="Times New Roman" w:eastAsia="Times New Roman" w:hAnsi="Times New Roman" w:cs="Times New Roman"/>
                <w:bCs/>
                <w:color w:val="000000"/>
                <w:vertAlign w:val="superscript"/>
              </w:rPr>
              <w:t>st</w:t>
            </w:r>
            <w:r w:rsidRPr="00F66630">
              <w:rPr>
                <w:rFonts w:ascii="Times New Roman" w:eastAsia="Times New Roman" w:hAnsi="Times New Roman" w:cs="Times New Roman"/>
                <w:bCs/>
                <w:color w:val="000000"/>
              </w:rPr>
              <w:t xml:space="preserve"> January to 31</w:t>
            </w:r>
            <w:r w:rsidRPr="00F66630">
              <w:rPr>
                <w:rFonts w:ascii="Times New Roman" w:eastAsia="Times New Roman" w:hAnsi="Times New Roman" w:cs="Times New Roman"/>
                <w:bCs/>
                <w:color w:val="000000"/>
                <w:vertAlign w:val="superscript"/>
              </w:rPr>
              <w:t>st</w:t>
            </w:r>
            <w:r w:rsidRPr="00F66630">
              <w:rPr>
                <w:rFonts w:ascii="Times New Roman" w:eastAsia="Times New Roman" w:hAnsi="Times New Roman" w:cs="Times New Roman"/>
                <w:bCs/>
                <w:color w:val="000000"/>
              </w:rPr>
              <w:t xml:space="preserve"> December) </w:t>
            </w:r>
            <w:r w:rsidRPr="00F66630">
              <w:rPr>
                <w:rFonts w:ascii="Times New Roman" w:hAnsi="Times New Roman" w:cs="Times New Roman"/>
              </w:rPr>
              <w:t xml:space="preserve">to the total monthly gross FAAC allocation for the same calendar year; and (ii) </w:t>
            </w:r>
            <w:r w:rsidRPr="00F66630">
              <w:rPr>
                <w:rFonts w:ascii="Times New Roman" w:eastAsia="Times New Roman" w:hAnsi="Times New Roman" w:cs="Times New Roman"/>
                <w:bCs/>
                <w:color w:val="000000"/>
              </w:rPr>
              <w:t xml:space="preserve">the ratio of total debt stock </w:t>
            </w:r>
            <w:r w:rsidRPr="00F66630">
              <w:rPr>
                <w:rFonts w:ascii="Times New Roman" w:hAnsi="Times New Roman" w:cs="Times New Roman"/>
              </w:rPr>
              <w:t xml:space="preserve">at </w:t>
            </w:r>
            <w:r w:rsidRPr="00F66630">
              <w:rPr>
                <w:rFonts w:ascii="Times New Roman" w:eastAsia="Times New Roman" w:hAnsi="Times New Roman" w:cs="Times New Roman"/>
                <w:bCs/>
                <w:color w:val="000000"/>
              </w:rPr>
              <w:t>the end-of-year (31</w:t>
            </w:r>
            <w:r w:rsidRPr="00F66630">
              <w:rPr>
                <w:rFonts w:ascii="Times New Roman" w:eastAsia="Times New Roman" w:hAnsi="Times New Roman" w:cs="Times New Roman"/>
                <w:bCs/>
                <w:color w:val="000000"/>
                <w:vertAlign w:val="superscript"/>
              </w:rPr>
              <w:t>st</w:t>
            </w:r>
            <w:r w:rsidRPr="00F66630">
              <w:rPr>
                <w:rFonts w:ascii="Times New Roman" w:eastAsia="Times New Roman" w:hAnsi="Times New Roman" w:cs="Times New Roman"/>
                <w:bCs/>
                <w:color w:val="000000"/>
              </w:rPr>
              <w:t xml:space="preserve"> December) of the year of assessment to the total revenue collected during the calendar year of the year of assessment (1</w:t>
            </w:r>
            <w:r w:rsidRPr="00F66630">
              <w:rPr>
                <w:rFonts w:ascii="Times New Roman" w:eastAsia="Times New Roman" w:hAnsi="Times New Roman" w:cs="Times New Roman"/>
                <w:bCs/>
                <w:color w:val="000000"/>
                <w:vertAlign w:val="superscript"/>
              </w:rPr>
              <w:t>st</w:t>
            </w:r>
            <w:r w:rsidRPr="00F66630">
              <w:rPr>
                <w:rFonts w:ascii="Times New Roman" w:eastAsia="Times New Roman" w:hAnsi="Times New Roman" w:cs="Times New Roman"/>
                <w:bCs/>
                <w:color w:val="000000"/>
              </w:rPr>
              <w:t xml:space="preserve"> January to 31</w:t>
            </w:r>
            <w:r w:rsidRPr="00F66630">
              <w:rPr>
                <w:rFonts w:ascii="Times New Roman" w:eastAsia="Times New Roman" w:hAnsi="Times New Roman" w:cs="Times New Roman"/>
                <w:bCs/>
                <w:color w:val="000000"/>
                <w:vertAlign w:val="superscript"/>
              </w:rPr>
              <w:t>st</w:t>
            </w:r>
            <w:r w:rsidRPr="00F66630">
              <w:rPr>
                <w:rFonts w:ascii="Times New Roman" w:eastAsia="Times New Roman" w:hAnsi="Times New Roman" w:cs="Times New Roman"/>
                <w:bCs/>
                <w:color w:val="000000"/>
              </w:rPr>
              <w:t xml:space="preserve"> December). </w:t>
            </w:r>
            <w:r w:rsidR="00F97A8E" w:rsidRPr="00F66630">
              <w:rPr>
                <w:rFonts w:ascii="Times New Roman" w:eastAsia="Times New Roman" w:hAnsi="Times New Roman" w:cs="Times New Roman"/>
                <w:bCs/>
                <w:color w:val="000000"/>
              </w:rPr>
              <w:t xml:space="preserve">For 2019 and 2021 </w:t>
            </w:r>
            <w:r w:rsidRPr="00F66630">
              <w:rPr>
                <w:rFonts w:ascii="Times New Roman" w:hAnsi="Times New Roman" w:cs="Times New Roman"/>
              </w:rPr>
              <w:t xml:space="preserve">DLI 9 is </w:t>
            </w:r>
            <w:r w:rsidR="000A3D39" w:rsidRPr="00F66630">
              <w:rPr>
                <w:rFonts w:ascii="Times New Roman" w:hAnsi="Times New Roman" w:cs="Times New Roman"/>
              </w:rPr>
              <w:t xml:space="preserve">achieved </w:t>
            </w:r>
            <w:r w:rsidRPr="00F66630">
              <w:rPr>
                <w:rFonts w:ascii="Times New Roman" w:hAnsi="Times New Roman" w:cs="Times New Roman"/>
              </w:rPr>
              <w:t xml:space="preserve">when the </w:t>
            </w:r>
            <w:r w:rsidR="000A3D39" w:rsidRPr="00F66630">
              <w:rPr>
                <w:rFonts w:ascii="Times New Roman" w:hAnsi="Times New Roman" w:cs="Times New Roman"/>
              </w:rPr>
              <w:t xml:space="preserve">first indicator is below 40 percent AND the second indicator is below </w:t>
            </w:r>
            <w:r w:rsidRPr="00F66630">
              <w:rPr>
                <w:rFonts w:ascii="Times New Roman" w:hAnsi="Times New Roman" w:cs="Times New Roman"/>
              </w:rPr>
              <w:t>the basic or stretch targets</w:t>
            </w:r>
            <w:r w:rsidR="000A3D39" w:rsidRPr="00F66630">
              <w:rPr>
                <w:rFonts w:ascii="Times New Roman" w:hAnsi="Times New Roman" w:cs="Times New Roman"/>
              </w:rPr>
              <w:t xml:space="preserve"> for the performance year in assessment.</w:t>
            </w:r>
            <w:r w:rsidR="009D6A19" w:rsidRPr="00F66630">
              <w:rPr>
                <w:rFonts w:ascii="Times New Roman" w:hAnsi="Times New Roman" w:cs="Times New Roman"/>
              </w:rPr>
              <w:t xml:space="preserve"> </w:t>
            </w:r>
            <w:r w:rsidR="00F97A8E" w:rsidRPr="00F66630">
              <w:rPr>
                <w:rFonts w:ascii="Times New Roman" w:hAnsi="Times New Roman" w:cs="Times New Roman"/>
              </w:rPr>
              <w:t>For 2020 DLI 9 is achieved when the second indicator is below the</w:t>
            </w:r>
            <w:r w:rsidR="00243154" w:rsidRPr="00F66630">
              <w:rPr>
                <w:rFonts w:ascii="Times New Roman" w:hAnsi="Times New Roman" w:cs="Times New Roman"/>
              </w:rPr>
              <w:t xml:space="preserve"> single</w:t>
            </w:r>
            <w:r w:rsidR="00F97A8E" w:rsidRPr="00F66630">
              <w:rPr>
                <w:rFonts w:ascii="Times New Roman" w:hAnsi="Times New Roman" w:cs="Times New Roman"/>
              </w:rPr>
              <w:t xml:space="preserve"> target for 2020.</w:t>
            </w:r>
          </w:p>
          <w:p w14:paraId="3B6D8DFB" w14:textId="77777777" w:rsidR="00197EA1" w:rsidRPr="00F66630" w:rsidRDefault="00197EA1" w:rsidP="00197EA1">
            <w:pPr>
              <w:spacing w:after="120"/>
              <w:contextualSpacing/>
              <w:rPr>
                <w:rFonts w:ascii="Times New Roman" w:hAnsi="Times New Roman" w:cs="Times New Roman"/>
                <w:b/>
                <w:bCs/>
              </w:rPr>
            </w:pPr>
          </w:p>
          <w:p w14:paraId="7DBACA1A" w14:textId="03DB5F0D" w:rsidR="00BF16B9" w:rsidRPr="00F66630" w:rsidRDefault="00BF16B9" w:rsidP="00197EA1">
            <w:pPr>
              <w:spacing w:after="120"/>
              <w:contextualSpacing/>
              <w:rPr>
                <w:rFonts w:ascii="Times New Roman" w:hAnsi="Times New Roman" w:cs="Times New Roman"/>
                <w:b/>
                <w:bCs/>
              </w:rPr>
            </w:pPr>
            <w:r w:rsidRPr="00F66630">
              <w:rPr>
                <w:rFonts w:ascii="Times New Roman" w:hAnsi="Times New Roman" w:cs="Times New Roman"/>
                <w:b/>
                <w:bCs/>
              </w:rPr>
              <w:t>Total debt stock at end Dec</w:t>
            </w:r>
            <w:r w:rsidR="003739F1" w:rsidRPr="00F66630">
              <w:rPr>
                <w:rFonts w:ascii="Times New Roman" w:hAnsi="Times New Roman" w:cs="Times New Roman"/>
                <w:b/>
                <w:bCs/>
              </w:rPr>
              <w:t>ember</w:t>
            </w:r>
            <w:r w:rsidRPr="00F66630">
              <w:rPr>
                <w:rFonts w:ascii="Times New Roman" w:hAnsi="Times New Roman" w:cs="Times New Roman"/>
                <w:b/>
                <w:bCs/>
              </w:rPr>
              <w:t xml:space="preserve"> as a share of total revenue</w:t>
            </w:r>
          </w:p>
          <w:p w14:paraId="01E85178" w14:textId="77777777" w:rsidR="00BF16B9" w:rsidRPr="00F66630" w:rsidRDefault="00BF16B9" w:rsidP="00197EA1">
            <w:pPr>
              <w:spacing w:after="120"/>
              <w:contextualSpacing/>
              <w:rPr>
                <w:rFonts w:ascii="Times New Roman" w:hAnsi="Times New Roman" w:cs="Times New Roman"/>
              </w:rPr>
            </w:pPr>
            <w:r w:rsidRPr="00F66630">
              <w:rPr>
                <w:rFonts w:ascii="Times New Roman" w:hAnsi="Times New Roman" w:cs="Times New Roman"/>
              </w:rPr>
              <w:t xml:space="preserve">Total state debt stock is the sum of the domestic debt stock (which includes commercial bank borrowing, domestic bonds, debt associated with the two financial assistance packages from CBN and FGN, domestic arrears) and the external debt (including bilateral and multilateral loans) stock. State debt stock data used to calculate the debt-to-revenue indicator will be primarily obtained from the annual </w:t>
            </w:r>
            <w:r w:rsidRPr="00F66630">
              <w:rPr>
                <w:rFonts w:ascii="Times New Roman" w:eastAsia="Times New Roman" w:hAnsi="Times New Roman" w:cs="Times New Roman"/>
                <w:color w:val="000000"/>
              </w:rPr>
              <w:t xml:space="preserve">State Domestic and External Debt Report (SDEDR) for each state </w:t>
            </w:r>
            <w:r w:rsidRPr="00F66630">
              <w:rPr>
                <w:rFonts w:ascii="Times New Roman" w:hAnsi="Times New Roman" w:cs="Times New Roman"/>
              </w:rPr>
              <w:t xml:space="preserve">issued by the DMO </w:t>
            </w:r>
            <w:r w:rsidRPr="00F66630">
              <w:rPr>
                <w:rFonts w:ascii="Times New Roman" w:eastAsia="Times New Roman" w:hAnsi="Times New Roman" w:cs="Times New Roman"/>
                <w:color w:val="000000"/>
              </w:rPr>
              <w:t>for the year under assessment</w:t>
            </w:r>
            <w:r w:rsidRPr="00F66630">
              <w:rPr>
                <w:rFonts w:ascii="Times New Roman" w:hAnsi="Times New Roman" w:cs="Times New Roman"/>
              </w:rPr>
              <w:t xml:space="preserve">. </w:t>
            </w:r>
          </w:p>
          <w:p w14:paraId="488A0C2F" w14:textId="77777777" w:rsidR="00BF16B9" w:rsidRPr="00F66630" w:rsidRDefault="00BF16B9" w:rsidP="00871362">
            <w:pPr>
              <w:pStyle w:val="ListParagraph"/>
              <w:spacing w:after="120"/>
              <w:ind w:left="0"/>
              <w:rPr>
                <w:rFonts w:ascii="Times New Roman" w:hAnsi="Times New Roman" w:cs="Times New Roman"/>
              </w:rPr>
            </w:pPr>
            <w:r w:rsidRPr="00F66630">
              <w:rPr>
                <w:rFonts w:ascii="Times New Roman" w:hAnsi="Times New Roman" w:cs="Times New Roman"/>
              </w:rPr>
              <w:t xml:space="preserve">(i)The domestic debt stock figure will be based on domestic debt stock figures reported by a state in their final Q4 domestic debt report to the DMO. The DMO will indicate if the domestic debt stock figure is based on Q4 reports approved/accepted by the DMO (even if outside the timeframe set in DLI 7.2) and indicate if they consider it as incomplete or unavailable (in case a state does not submit Q4 reports). For these states, the debt-to-revenue indicator will be deemed as not achieved for the year under assessment. If there are remaining discrepancies between the figures reported by the state for CBN and FGN borrowing and what CBN and FGN reported to the DMO on what the state owes them, the domestic debt stock figure in the SDEDR will be adjusted to reflect what CBN and FGN reported to the DMO. </w:t>
            </w:r>
          </w:p>
          <w:p w14:paraId="73024BA1" w14:textId="77777777" w:rsidR="00BF16B9" w:rsidRPr="00F66630" w:rsidRDefault="00BF16B9" w:rsidP="00871362">
            <w:pPr>
              <w:pStyle w:val="ListParagraph"/>
              <w:spacing w:after="120"/>
              <w:ind w:left="0"/>
              <w:rPr>
                <w:rFonts w:ascii="Times New Roman" w:hAnsi="Times New Roman" w:cs="Times New Roman"/>
              </w:rPr>
            </w:pPr>
            <w:r w:rsidRPr="00F66630">
              <w:rPr>
                <w:rFonts w:ascii="Times New Roman" w:hAnsi="Times New Roman" w:cs="Times New Roman"/>
              </w:rPr>
              <w:t xml:space="preserve">(ii)The external debt stock figure is based on the DMO’s records for the state as all external borrowing goes through the FGN. </w:t>
            </w:r>
          </w:p>
          <w:p w14:paraId="0909BE60" w14:textId="02202C33" w:rsidR="00E80312" w:rsidRPr="00F66630" w:rsidRDefault="00E80312" w:rsidP="00E80312">
            <w:pPr>
              <w:spacing w:after="120"/>
              <w:rPr>
                <w:rFonts w:ascii="Times New Roman" w:hAnsi="Times New Roman" w:cs="Times New Roman"/>
              </w:rPr>
            </w:pPr>
            <w:r w:rsidRPr="00F66630">
              <w:rPr>
                <w:rFonts w:ascii="Times New Roman" w:hAnsi="Times New Roman" w:cs="Times New Roman"/>
              </w:rPr>
              <w:t>Total state revenue includes Statutory Transfers (gross statutory allocation, derivation and other FAAC transfers), VAT, IGR (calculated IGR figure used for DLI 4.2), grants, and other revenues (investment income (e.g., dividends), interest earned) reported in a state’s audited financial statements with appropriate adjustments to exclude inflows from financing (sales of government property, privatization proceeds), savings items and refunds related to expenditures/reimbursables</w:t>
            </w:r>
            <w:r w:rsidR="00406AD8" w:rsidRPr="00F66630">
              <w:rPr>
                <w:rFonts w:ascii="Times New Roman" w:hAnsi="Times New Roman" w:cs="Times New Roman"/>
              </w:rPr>
              <w:t xml:space="preserve"> – see Table below</w:t>
            </w:r>
            <w:r w:rsidRPr="00F66630">
              <w:rPr>
                <w:rFonts w:ascii="Times New Roman" w:hAnsi="Times New Roman" w:cs="Times New Roman"/>
              </w:rPr>
              <w:t>.</w:t>
            </w:r>
          </w:p>
          <w:p w14:paraId="2A5A425B" w14:textId="77777777" w:rsidR="00406AD8" w:rsidRPr="00F66630" w:rsidRDefault="00406AD8" w:rsidP="00197EA1">
            <w:pPr>
              <w:spacing w:after="120"/>
              <w:contextualSpacing/>
              <w:rPr>
                <w:rFonts w:ascii="Times New Roman" w:eastAsia="Times New Roman" w:hAnsi="Times New Roman" w:cs="Times New Roman"/>
                <w:b/>
                <w:color w:val="000000"/>
              </w:rPr>
            </w:pPr>
          </w:p>
          <w:p w14:paraId="69E3E543" w14:textId="519709A8" w:rsidR="00BF16B9" w:rsidRPr="00F66630" w:rsidRDefault="00BF16B9" w:rsidP="00197EA1">
            <w:pPr>
              <w:spacing w:after="120"/>
              <w:contextualSpacing/>
              <w:rPr>
                <w:rFonts w:ascii="Times New Roman" w:hAnsi="Times New Roman" w:cs="Times New Roman"/>
                <w:b/>
              </w:rPr>
            </w:pPr>
            <w:r w:rsidRPr="00F66630">
              <w:rPr>
                <w:rFonts w:ascii="Times New Roman" w:eastAsia="Times New Roman" w:hAnsi="Times New Roman" w:cs="Times New Roman"/>
                <w:b/>
                <w:color w:val="000000"/>
              </w:rPr>
              <w:lastRenderedPageBreak/>
              <w:t xml:space="preserve">Total </w:t>
            </w:r>
            <w:r w:rsidRPr="00F66630">
              <w:rPr>
                <w:rFonts w:ascii="Times New Roman" w:hAnsi="Times New Roman" w:cs="Times New Roman"/>
                <w:b/>
              </w:rPr>
              <w:t>monthly debt service deductions from FAAC allocation as a share of total monthly gross FAAC allocation</w:t>
            </w:r>
          </w:p>
          <w:p w14:paraId="66DF1999" w14:textId="77777777" w:rsidR="00BF16B9" w:rsidRPr="00F66630" w:rsidRDefault="00BF16B9" w:rsidP="00197EA1">
            <w:pPr>
              <w:spacing w:after="120"/>
              <w:contextualSpacing/>
              <w:rPr>
                <w:rFonts w:ascii="Times New Roman" w:hAnsi="Times New Roman" w:cs="Times New Roman"/>
              </w:rPr>
            </w:pPr>
            <w:r w:rsidRPr="00F66630">
              <w:rPr>
                <w:rFonts w:ascii="Times New Roman" w:hAnsi="Times New Roman" w:cs="Times New Roman"/>
              </w:rPr>
              <w:t xml:space="preserve">The total gross FAAC allocation to a state is the sum of the following components: (i) Gross Statutory Allocation; (ii) Derivation; (iii) Distribution (sub-components vary, determined by FAAC, includes distribution of Excess PPT Savings Account, FOREX </w:t>
            </w:r>
            <w:proofErr w:type="spellStart"/>
            <w:r w:rsidRPr="00F66630">
              <w:rPr>
                <w:rFonts w:ascii="Times New Roman" w:hAnsi="Times New Roman" w:cs="Times New Roman"/>
              </w:rPr>
              <w:t>Equalisation</w:t>
            </w:r>
            <w:proofErr w:type="spellEnd"/>
            <w:r w:rsidRPr="00F66630">
              <w:rPr>
                <w:rFonts w:ascii="Times New Roman" w:hAnsi="Times New Roman" w:cs="Times New Roman"/>
              </w:rPr>
              <w:t>, Excess Bank Charges); and (iv) Gross VAT, which is normally Net VAT shareable as deductions are not normally made from VAT.</w:t>
            </w:r>
          </w:p>
          <w:p w14:paraId="17E5EFC1" w14:textId="77777777" w:rsidR="00BF16B9" w:rsidRPr="00F66630" w:rsidRDefault="00BF16B9" w:rsidP="00871362">
            <w:pPr>
              <w:spacing w:after="120"/>
              <w:rPr>
                <w:rFonts w:ascii="Times New Roman" w:hAnsi="Times New Roman" w:cs="Times New Roman"/>
              </w:rPr>
            </w:pPr>
            <w:r w:rsidRPr="00F66630">
              <w:rPr>
                <w:rFonts w:ascii="Times New Roman" w:hAnsi="Times New Roman" w:cs="Times New Roman"/>
              </w:rPr>
              <w:t>Deductions for debt service refer to the monthly deductions from the FAAC allocation (typically from Gross Statutory Allocation component but also other components) made to cover debt service obligations on the state’s external borrowing and domestic borrowing that is serviced through irrevocable standing payment orders (ISPOs).</w:t>
            </w:r>
          </w:p>
          <w:p w14:paraId="0E3BA4B7" w14:textId="53DCEF39" w:rsidR="00197EA1" w:rsidRPr="00F66630" w:rsidRDefault="00BF16B9" w:rsidP="004801EF">
            <w:pPr>
              <w:spacing w:after="120"/>
              <w:rPr>
                <w:rFonts w:ascii="Times New Roman" w:hAnsi="Times New Roman" w:cs="Times New Roman"/>
              </w:rPr>
            </w:pPr>
            <w:r w:rsidRPr="00F66630">
              <w:rPr>
                <w:rFonts w:ascii="Times New Roman" w:hAnsi="Times New Roman" w:cs="Times New Roman"/>
              </w:rPr>
              <w:t xml:space="preserve">The monthly figures to be used to calculate totals for the calendar years refer to the months in which the revenues accrue to the federation account not the months when FAAC meets to determine distribution and when revenues are distributed, which is normally done with a </w:t>
            </w:r>
            <w:proofErr w:type="gramStart"/>
            <w:r w:rsidRPr="00F66630">
              <w:rPr>
                <w:rFonts w:ascii="Times New Roman" w:hAnsi="Times New Roman" w:cs="Times New Roman"/>
              </w:rPr>
              <w:t>one month</w:t>
            </w:r>
            <w:proofErr w:type="gramEnd"/>
            <w:r w:rsidRPr="00F66630">
              <w:rPr>
                <w:rFonts w:ascii="Times New Roman" w:hAnsi="Times New Roman" w:cs="Times New Roman"/>
              </w:rPr>
              <w:t xml:space="preserve"> lag i.e. </w:t>
            </w:r>
            <w:r w:rsidR="003739F1" w:rsidRPr="00F66630">
              <w:rPr>
                <w:rFonts w:ascii="Times New Roman" w:hAnsi="Times New Roman" w:cs="Times New Roman"/>
              </w:rPr>
              <w:t>T</w:t>
            </w:r>
            <w:r w:rsidRPr="00F66630">
              <w:rPr>
                <w:rFonts w:ascii="Times New Roman" w:hAnsi="Times New Roman" w:cs="Times New Roman"/>
              </w:rPr>
              <w:t xml:space="preserve">he FAAC allocation for December 2018 is discussed at the January 2019 FAAC meeting and distributed to states in </w:t>
            </w:r>
            <w:r w:rsidR="00585B0D" w:rsidRPr="00F66630">
              <w:rPr>
                <w:rFonts w:ascii="Times New Roman" w:hAnsi="Times New Roman" w:cs="Times New Roman"/>
              </w:rPr>
              <w:t>January</w:t>
            </w:r>
            <w:r w:rsidRPr="00F66630">
              <w:rPr>
                <w:rFonts w:ascii="Times New Roman" w:hAnsi="Times New Roman" w:cs="Times New Roman"/>
              </w:rPr>
              <w:t xml:space="preserve"> 2019.</w:t>
            </w:r>
          </w:p>
          <w:p w14:paraId="00951177" w14:textId="212AB455" w:rsidR="004801EF" w:rsidRPr="00F66630" w:rsidRDefault="004801EF">
            <w:pPr>
              <w:spacing w:after="120"/>
              <w:rPr>
                <w:rFonts w:ascii="Times New Roman" w:hAnsi="Times New Roman" w:cs="Times New Roman"/>
              </w:rPr>
            </w:pPr>
            <w:r w:rsidRPr="00F66630">
              <w:rPr>
                <w:rFonts w:ascii="Times New Roman" w:hAnsi="Times New Roman" w:cs="Times New Roman"/>
              </w:rPr>
              <w:t>The figures for gross FAAC allocation and deductions will be primarily obtained from the monthly OAGF FAAC data published by National Bureau of Statistics online with appropriate adjustments for the timing.</w:t>
            </w:r>
          </w:p>
        </w:tc>
      </w:tr>
      <w:tr w:rsidR="00BF16B9" w:rsidRPr="00F66630" w14:paraId="6DC63847" w14:textId="77777777" w:rsidTr="00406AD8">
        <w:tc>
          <w:tcPr>
            <w:tcW w:w="5000" w:type="pct"/>
            <w:gridSpan w:val="2"/>
            <w:shd w:val="clear" w:color="auto" w:fill="FDE9D9" w:themeFill="accent6" w:themeFillTint="33"/>
          </w:tcPr>
          <w:p w14:paraId="7141ECA1" w14:textId="77777777" w:rsidR="00BF16B9" w:rsidRPr="00F66630" w:rsidRDefault="00BF16B9" w:rsidP="00871362">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r w:rsidR="00DC4356" w:rsidRPr="00F66630">
              <w:rPr>
                <w:rFonts w:ascii="Times New Roman" w:hAnsi="Times New Roman" w:cs="Times New Roman"/>
                <w:b/>
                <w:i/>
              </w:rPr>
              <w:t xml:space="preserve"> (2019 APA onwards)</w:t>
            </w:r>
          </w:p>
          <w:p w14:paraId="3048A3F2" w14:textId="7A3C2AC6" w:rsidR="00981B20" w:rsidRPr="00F66630" w:rsidRDefault="00981B20" w:rsidP="00871362">
            <w:pPr>
              <w:rPr>
                <w:rFonts w:ascii="Times New Roman" w:hAnsi="Times New Roman" w:cs="Times New Roman"/>
                <w:b/>
                <w:i/>
              </w:rPr>
            </w:pPr>
          </w:p>
        </w:tc>
      </w:tr>
      <w:tr w:rsidR="00BF16B9" w:rsidRPr="00F66630" w14:paraId="6CAAF129" w14:textId="77777777" w:rsidTr="00406AD8">
        <w:tc>
          <w:tcPr>
            <w:tcW w:w="5000" w:type="pct"/>
            <w:gridSpan w:val="2"/>
          </w:tcPr>
          <w:p w14:paraId="6869F2ED" w14:textId="423C53C8" w:rsidR="00BF16B9" w:rsidRPr="00F66630" w:rsidRDefault="00BF16B9" w:rsidP="00871362">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Data Sources</w:t>
            </w:r>
          </w:p>
          <w:p w14:paraId="4399671B" w14:textId="4C9DED63" w:rsidR="00BF16B9" w:rsidRPr="00F66630" w:rsidRDefault="00BF16B9" w:rsidP="00E36965">
            <w:pPr>
              <w:pStyle w:val="ListParagraph"/>
              <w:numPr>
                <w:ilvl w:val="0"/>
                <w:numId w:val="19"/>
              </w:numPr>
              <w:rPr>
                <w:rFonts w:ascii="Times New Roman" w:hAnsi="Times New Roman" w:cs="Times New Roman"/>
              </w:rPr>
            </w:pPr>
            <w:r w:rsidRPr="00F66630">
              <w:rPr>
                <w:rFonts w:ascii="Times New Roman" w:hAnsi="Times New Roman" w:cs="Times New Roman"/>
                <w:b/>
              </w:rPr>
              <w:t xml:space="preserve">DMO </w:t>
            </w:r>
            <w:r w:rsidRPr="00F66630">
              <w:rPr>
                <w:rFonts w:ascii="Times New Roman" w:hAnsi="Times New Roman" w:cs="Times New Roman"/>
                <w:bCs/>
              </w:rPr>
              <w:t>will provide the IVA with the following</w:t>
            </w:r>
            <w:r w:rsidRPr="00F66630">
              <w:rPr>
                <w:rFonts w:ascii="Times New Roman" w:hAnsi="Times New Roman" w:cs="Times New Roman"/>
              </w:rPr>
              <w:t xml:space="preserve">: (i) The annual </w:t>
            </w:r>
            <w:r w:rsidRPr="00F66630">
              <w:rPr>
                <w:rFonts w:ascii="Times New Roman" w:eastAsia="Times New Roman" w:hAnsi="Times New Roman" w:cs="Times New Roman"/>
                <w:color w:val="000000"/>
              </w:rPr>
              <w:t xml:space="preserve">State Domestic and External Debt Report (SDEDR) for each state. </w:t>
            </w:r>
            <w:r w:rsidRPr="00F66630">
              <w:rPr>
                <w:rFonts w:ascii="Times New Roman" w:hAnsi="Times New Roman" w:cs="Times New Roman"/>
              </w:rPr>
              <w:t xml:space="preserve">The SDEDR will </w:t>
            </w:r>
            <w:r w:rsidRPr="00F66630">
              <w:rPr>
                <w:rFonts w:ascii="Times New Roman" w:eastAsia="Times New Roman" w:hAnsi="Times New Roman" w:cs="Times New Roman"/>
                <w:color w:val="000000"/>
              </w:rPr>
              <w:t>include the state’s domestic debt, external debt and total (domestic plus external debt) data at year-end and indicate whether the</w:t>
            </w:r>
            <w:r w:rsidRPr="00F66630">
              <w:rPr>
                <w:rFonts w:ascii="Times New Roman" w:hAnsi="Times New Roman" w:cs="Times New Roman"/>
              </w:rPr>
              <w:t xml:space="preserve"> domestic debt stock figure is based on Q4 reports approved by the DMO (even if outside the timeframe set in DLI 7.2) and indicate if DMO considers it as incomplete or unavailable (in case a state does not submit Q4 reports); (ii) Supporting documentation including a) the breakdown of the states’ domestic debt stock figures at year-end by debt categories as per the quarterly domestic debt stock reporting template in an </w:t>
            </w:r>
            <w:proofErr w:type="spellStart"/>
            <w:r w:rsidRPr="00F66630">
              <w:rPr>
                <w:rFonts w:ascii="Times New Roman" w:hAnsi="Times New Roman" w:cs="Times New Roman"/>
              </w:rPr>
              <w:t>xls</w:t>
            </w:r>
            <w:proofErr w:type="spellEnd"/>
            <w:r w:rsidRPr="00F66630">
              <w:rPr>
                <w:rFonts w:ascii="Times New Roman" w:hAnsi="Times New Roman" w:cs="Times New Roman"/>
              </w:rPr>
              <w:t xml:space="preserve"> file; and b) the CBN and FGN figures of the year-end debt balances for each state for each loan from the CBN and FGN reported to the DMO (requested by the DMO as part of DMO’s process for cross-checking states’ quarterly domestic debt reports) in an </w:t>
            </w:r>
            <w:proofErr w:type="spellStart"/>
            <w:r w:rsidRPr="00F66630">
              <w:rPr>
                <w:rFonts w:ascii="Times New Roman" w:hAnsi="Times New Roman" w:cs="Times New Roman"/>
              </w:rPr>
              <w:t>xls</w:t>
            </w:r>
            <w:proofErr w:type="spellEnd"/>
            <w:r w:rsidRPr="00F66630">
              <w:rPr>
                <w:rFonts w:ascii="Times New Roman" w:hAnsi="Times New Roman" w:cs="Times New Roman"/>
              </w:rPr>
              <w:t xml:space="preserve"> file.</w:t>
            </w:r>
            <w:r w:rsidRPr="00F66630">
              <w:rPr>
                <w:rFonts w:ascii="Times New Roman" w:eastAsia="Times New Roman" w:hAnsi="Times New Roman" w:cs="Times New Roman"/>
                <w:color w:val="000000"/>
              </w:rPr>
              <w:t xml:space="preserve">  </w:t>
            </w:r>
          </w:p>
          <w:p w14:paraId="6F155E0F" w14:textId="77777777" w:rsidR="00BF16B9" w:rsidRPr="00F66630" w:rsidRDefault="00BF16B9" w:rsidP="00E36965">
            <w:pPr>
              <w:numPr>
                <w:ilvl w:val="0"/>
                <w:numId w:val="19"/>
              </w:numPr>
              <w:contextualSpacing/>
              <w:rPr>
                <w:rFonts w:ascii="Times New Roman" w:hAnsi="Times New Roman" w:cs="Times New Roman"/>
                <w:b/>
              </w:rPr>
            </w:pPr>
            <w:r w:rsidRPr="00F66630">
              <w:rPr>
                <w:rFonts w:ascii="Times New Roman" w:hAnsi="Times New Roman" w:cs="Times New Roman"/>
                <w:b/>
              </w:rPr>
              <w:t xml:space="preserve">FMOF Home Finance </w:t>
            </w:r>
            <w:r w:rsidRPr="00F66630">
              <w:rPr>
                <w:rFonts w:ascii="Times New Roman" w:hAnsi="Times New Roman" w:cs="Times New Roman"/>
                <w:bCs/>
              </w:rPr>
              <w:t xml:space="preserve">will provide the IVA a </w:t>
            </w:r>
            <w:r w:rsidRPr="00F66630">
              <w:rPr>
                <w:rFonts w:ascii="Times New Roman" w:hAnsi="Times New Roman" w:cs="Times New Roman"/>
              </w:rPr>
              <w:t xml:space="preserve">report of the total monthly gross FAAC allocation and monthly deductions for debt service payments from FAAC allocation, broken down by components (Statutory Allocation, Derivation, Distribution, Gross VAT) for each state for the full (12 months from January to December) calendar year in an </w:t>
            </w:r>
            <w:proofErr w:type="spellStart"/>
            <w:r w:rsidRPr="00F66630">
              <w:rPr>
                <w:rFonts w:ascii="Times New Roman" w:hAnsi="Times New Roman" w:cs="Times New Roman"/>
              </w:rPr>
              <w:t>xls</w:t>
            </w:r>
            <w:proofErr w:type="spellEnd"/>
            <w:r w:rsidRPr="00F66630">
              <w:rPr>
                <w:rFonts w:ascii="Times New Roman" w:hAnsi="Times New Roman" w:cs="Times New Roman"/>
              </w:rPr>
              <w:t xml:space="preserve"> file. </w:t>
            </w:r>
          </w:p>
          <w:p w14:paraId="10394D2C" w14:textId="77777777" w:rsidR="00981B20" w:rsidRPr="00F66630" w:rsidRDefault="00BF16B9" w:rsidP="00E36965">
            <w:pPr>
              <w:numPr>
                <w:ilvl w:val="0"/>
                <w:numId w:val="19"/>
              </w:numPr>
              <w:contextualSpacing/>
              <w:rPr>
                <w:rFonts w:ascii="Times New Roman" w:hAnsi="Times New Roman" w:cs="Times New Roman"/>
                <w:b/>
              </w:rPr>
            </w:pPr>
            <w:r w:rsidRPr="00F66630">
              <w:rPr>
                <w:rFonts w:ascii="Times New Roman" w:hAnsi="Times New Roman" w:cs="Times New Roman"/>
                <w:b/>
                <w:bCs/>
              </w:rPr>
              <w:t>OAGF data reported by NBS available online on FAAC allocation and deductions</w:t>
            </w:r>
          </w:p>
          <w:p w14:paraId="03C3D034" w14:textId="77777777" w:rsidR="00981B20" w:rsidRPr="00F66630" w:rsidRDefault="00BF16B9" w:rsidP="00E36965">
            <w:pPr>
              <w:numPr>
                <w:ilvl w:val="0"/>
                <w:numId w:val="19"/>
              </w:numPr>
              <w:contextualSpacing/>
              <w:rPr>
                <w:rFonts w:ascii="Times New Roman" w:hAnsi="Times New Roman" w:cs="Times New Roman"/>
                <w:b/>
              </w:rPr>
            </w:pPr>
            <w:r w:rsidRPr="00F66630">
              <w:rPr>
                <w:rFonts w:ascii="Times New Roman" w:hAnsi="Times New Roman" w:cs="Times New Roman"/>
                <w:b/>
              </w:rPr>
              <w:t>State:</w:t>
            </w:r>
            <w:r w:rsidRPr="00F66630">
              <w:rPr>
                <w:rFonts w:ascii="Times New Roman" w:hAnsi="Times New Roman" w:cs="Times New Roman"/>
              </w:rPr>
              <w:t xml:space="preserve"> </w:t>
            </w:r>
            <w:r w:rsidRPr="00F66630">
              <w:rPr>
                <w:rFonts w:ascii="Times New Roman" w:eastAsia="Times New Roman" w:hAnsi="Times New Roman" w:cs="Times New Roman"/>
                <w:bCs/>
                <w:iCs/>
              </w:rPr>
              <w:t xml:space="preserve">Published audited financial statement and annual audit report for 2018 and onwards (also to be obtained from the State official website(s)). </w:t>
            </w:r>
            <w:r w:rsidRPr="00F66630">
              <w:rPr>
                <w:rFonts w:ascii="Times New Roman" w:hAnsi="Times New Roman" w:cs="Times New Roman"/>
              </w:rPr>
              <w:t>Audit report and audited financial statements showing the full year total state revenue and year-end total debt stock.</w:t>
            </w:r>
          </w:p>
          <w:p w14:paraId="37CA7302" w14:textId="54BA2254" w:rsidR="00197EA1" w:rsidRPr="00F66630" w:rsidRDefault="00197EA1" w:rsidP="00197EA1">
            <w:pPr>
              <w:ind w:left="720"/>
              <w:contextualSpacing/>
              <w:rPr>
                <w:rFonts w:ascii="Times New Roman" w:hAnsi="Times New Roman" w:cs="Times New Roman"/>
                <w:b/>
              </w:rPr>
            </w:pPr>
          </w:p>
        </w:tc>
      </w:tr>
      <w:tr w:rsidR="00BF16B9" w:rsidRPr="00F66630" w14:paraId="78460EA7" w14:textId="77777777" w:rsidTr="00406AD8">
        <w:tc>
          <w:tcPr>
            <w:tcW w:w="5000" w:type="pct"/>
            <w:gridSpan w:val="2"/>
          </w:tcPr>
          <w:p w14:paraId="74F29F23" w14:textId="61A8C162" w:rsidR="00BF16B9" w:rsidRPr="00F66630" w:rsidRDefault="00BF16B9" w:rsidP="00871362">
            <w:pPr>
              <w:rPr>
                <w:rFonts w:ascii="Times New Roman" w:hAnsi="Times New Roman" w:cs="Times New Roman"/>
                <w:b/>
                <w:i/>
                <w:u w:val="single"/>
              </w:rPr>
            </w:pPr>
            <w:r w:rsidRPr="00F66630">
              <w:rPr>
                <w:rFonts w:ascii="Times New Roman" w:hAnsi="Times New Roman" w:cs="Times New Roman"/>
                <w:b/>
                <w:i/>
                <w:u w:val="single"/>
              </w:rPr>
              <w:t>Procedures</w:t>
            </w:r>
          </w:p>
          <w:p w14:paraId="37F4F0FB" w14:textId="2B589FBC" w:rsidR="00BF16B9" w:rsidRPr="00F66630" w:rsidRDefault="00BF16B9" w:rsidP="00871362">
            <w:pPr>
              <w:rPr>
                <w:rFonts w:ascii="Times New Roman" w:hAnsi="Times New Roman" w:cs="Times New Roman"/>
              </w:rPr>
            </w:pPr>
            <w:r w:rsidRPr="00F66630">
              <w:rPr>
                <w:rFonts w:ascii="Times New Roman" w:hAnsi="Times New Roman" w:cs="Times New Roman"/>
              </w:rPr>
              <w:t>For each APA, the IVA will write to DMO and</w:t>
            </w:r>
            <w:r w:rsidR="0026647F" w:rsidRPr="00F66630">
              <w:rPr>
                <w:rFonts w:ascii="Times New Roman" w:hAnsi="Times New Roman" w:cs="Times New Roman"/>
              </w:rPr>
              <w:t xml:space="preserve"> </w:t>
            </w:r>
            <w:r w:rsidRPr="00F66630">
              <w:rPr>
                <w:rFonts w:ascii="Times New Roman" w:hAnsi="Times New Roman" w:cs="Times New Roman"/>
              </w:rPr>
              <w:t xml:space="preserve">FMOF Home Finance requesting the relevant data for the upcoming APA. DMO and FMOF to transmit their reports to the IVA within 7 days of the request. </w:t>
            </w:r>
          </w:p>
          <w:p w14:paraId="4ACDAE71" w14:textId="77777777" w:rsidR="00BF16B9" w:rsidRPr="00F66630" w:rsidRDefault="00BF16B9" w:rsidP="00871362">
            <w:pPr>
              <w:rPr>
                <w:rFonts w:ascii="Times New Roman" w:hAnsi="Times New Roman" w:cs="Times New Roman"/>
              </w:rPr>
            </w:pPr>
          </w:p>
          <w:p w14:paraId="4FA9F60C" w14:textId="7C920EA6" w:rsidR="00BF16B9" w:rsidRPr="00F66630" w:rsidRDefault="00BF16B9" w:rsidP="000A3D39">
            <w:pPr>
              <w:spacing w:after="120"/>
              <w:contextualSpacing/>
              <w:rPr>
                <w:rFonts w:ascii="Times New Roman" w:hAnsi="Times New Roman" w:cs="Times New Roman"/>
              </w:rPr>
            </w:pPr>
            <w:r w:rsidRPr="00F66630">
              <w:rPr>
                <w:rFonts w:ascii="Times New Roman" w:hAnsi="Times New Roman" w:cs="Times New Roman"/>
              </w:rPr>
              <w:lastRenderedPageBreak/>
              <w:t>The IVA will carry out the following for each State</w:t>
            </w:r>
            <w:r w:rsidR="00FA0B8C" w:rsidRPr="00F66630">
              <w:rPr>
                <w:rFonts w:ascii="Times New Roman" w:hAnsi="Times New Roman" w:cs="Times New Roman"/>
              </w:rPr>
              <w:t>:</w:t>
            </w:r>
          </w:p>
          <w:p w14:paraId="465111C3" w14:textId="282DA01E" w:rsidR="00BF16B9" w:rsidRPr="00F66630" w:rsidRDefault="00BF16B9" w:rsidP="007219B7">
            <w:pPr>
              <w:pStyle w:val="ListParagraph"/>
              <w:numPr>
                <w:ilvl w:val="0"/>
                <w:numId w:val="24"/>
              </w:numPr>
              <w:spacing w:after="120"/>
              <w:rPr>
                <w:rFonts w:ascii="Times New Roman" w:hAnsi="Times New Roman" w:cs="Times New Roman"/>
              </w:rPr>
            </w:pPr>
            <w:r w:rsidRPr="00F66630">
              <w:rPr>
                <w:rFonts w:ascii="Times New Roman" w:hAnsi="Times New Roman" w:cs="Times New Roman"/>
              </w:rPr>
              <w:t xml:space="preserve">Check that the year-end debt stock in the DMO SDEDR is not materially different from the year-end debt stock reported in the State’s audited financial statements. If different, notify the State Accountant General and DMO for them to </w:t>
            </w:r>
            <w:r w:rsidR="00CB33D4" w:rsidRPr="00F66630">
              <w:rPr>
                <w:rFonts w:ascii="Times New Roman" w:hAnsi="Times New Roman" w:cs="Times New Roman"/>
              </w:rPr>
              <w:t xml:space="preserve">reconcile the </w:t>
            </w:r>
            <w:r w:rsidRPr="00F66630">
              <w:rPr>
                <w:rFonts w:ascii="Times New Roman" w:hAnsi="Times New Roman" w:cs="Times New Roman"/>
              </w:rPr>
              <w:t xml:space="preserve">differences. </w:t>
            </w:r>
            <w:r w:rsidR="00976F65" w:rsidRPr="00F66630">
              <w:rPr>
                <w:rFonts w:ascii="Times New Roman" w:hAnsi="Times New Roman" w:cs="Times New Roman"/>
              </w:rPr>
              <w:t>Differentiate between what States originally report to the DMO on their domestic debt and the DMO’s SDEDR figures which incorporates adjustments made from validating the States’ reported figures with CBN and FMOF.  For some States, what they report in their AFS and to DMO was the same, the difference was due to the adjustments made</w:t>
            </w:r>
            <w:r w:rsidR="00541405" w:rsidRPr="00F66630">
              <w:rPr>
                <w:rFonts w:ascii="Times New Roman" w:hAnsi="Times New Roman" w:cs="Times New Roman"/>
              </w:rPr>
              <w:t xml:space="preserve"> </w:t>
            </w:r>
            <w:r w:rsidR="007219B7" w:rsidRPr="00F66630">
              <w:rPr>
                <w:rFonts w:ascii="Times New Roman" w:hAnsi="Times New Roman" w:cs="Times New Roman"/>
              </w:rPr>
              <w:t>from validating the States’ reported figures with CBN and FMOF</w:t>
            </w:r>
            <w:r w:rsidR="00976F65" w:rsidRPr="00F66630">
              <w:rPr>
                <w:rFonts w:ascii="Times New Roman" w:hAnsi="Times New Roman" w:cs="Times New Roman"/>
              </w:rPr>
              <w:t xml:space="preserve">. For some States, what they report in their AFS and to DMO was not the same, and the issue is with the internal consistency of the States debt data. </w:t>
            </w:r>
            <w:r w:rsidRPr="00F66630">
              <w:rPr>
                <w:rFonts w:ascii="Times New Roman" w:hAnsi="Times New Roman" w:cs="Times New Roman"/>
              </w:rPr>
              <w:t>If the SDEDR is amended as a result, the DMO will resubmit the SDEDR to the IVA along with explanations for any changes.</w:t>
            </w:r>
          </w:p>
          <w:p w14:paraId="2F2332CB" w14:textId="4C939749" w:rsidR="00BF16B9" w:rsidRPr="00F66630" w:rsidRDefault="00BF16B9" w:rsidP="007455B4">
            <w:pPr>
              <w:pStyle w:val="ListParagraph"/>
              <w:numPr>
                <w:ilvl w:val="0"/>
                <w:numId w:val="24"/>
              </w:numPr>
              <w:spacing w:after="120"/>
              <w:rPr>
                <w:rFonts w:ascii="Times New Roman" w:hAnsi="Times New Roman" w:cs="Times New Roman"/>
              </w:rPr>
            </w:pPr>
            <w:r w:rsidRPr="00F66630">
              <w:rPr>
                <w:rFonts w:ascii="Times New Roman" w:hAnsi="Times New Roman" w:cs="Times New Roman"/>
              </w:rPr>
              <w:t>For states with SDEDR with the domestic debt stock figures at year-end assessed by the DMO as complete/available, check</w:t>
            </w:r>
            <w:r w:rsidR="000A3D39" w:rsidRPr="00F66630">
              <w:rPr>
                <w:rFonts w:ascii="Times New Roman" w:hAnsi="Times New Roman" w:cs="Times New Roman"/>
              </w:rPr>
              <w:t xml:space="preserve"> that</w:t>
            </w:r>
            <w:r w:rsidRPr="00F66630">
              <w:rPr>
                <w:rFonts w:ascii="Times New Roman" w:hAnsi="Times New Roman" w:cs="Times New Roman"/>
              </w:rPr>
              <w:t xml:space="preserve"> the states’ domestic debt stock figures at year-end for debt categories that are loans from the CBN and FGN </w:t>
            </w:r>
            <w:r w:rsidR="000A3D39" w:rsidRPr="00F66630">
              <w:rPr>
                <w:rFonts w:ascii="Times New Roman" w:hAnsi="Times New Roman" w:cs="Times New Roman"/>
              </w:rPr>
              <w:t xml:space="preserve">are </w:t>
            </w:r>
            <w:r w:rsidRPr="00F66630">
              <w:rPr>
                <w:rFonts w:ascii="Times New Roman" w:hAnsi="Times New Roman" w:cs="Times New Roman"/>
              </w:rPr>
              <w:t>consistent with the figures of the year-end state debt balances reported by CBN and FGN to the DMO.</w:t>
            </w:r>
            <w:r w:rsidRPr="00F66630">
              <w:rPr>
                <w:rFonts w:ascii="Times New Roman" w:eastAsia="Times New Roman" w:hAnsi="Times New Roman" w:cs="Times New Roman"/>
                <w:color w:val="000000"/>
              </w:rPr>
              <w:t xml:space="preserve">  </w:t>
            </w:r>
            <w:r w:rsidRPr="00F66630">
              <w:rPr>
                <w:rFonts w:ascii="Times New Roman" w:hAnsi="Times New Roman" w:cs="Times New Roman"/>
              </w:rPr>
              <w:t xml:space="preserve">If there are remaining discrepancies between the figures reported by the state for CBN and FGN borrowing and what CBN and FGN reported to the DMO on what the state owes them, the domestic debt stock figure in the SDEDR will be adjusted replacing the figures with the relevant figures CBN and FGN reported to the DMO. The adjustments will be shown in the APA reports to provide states an opportunity to query the CBN and FGN figures with supporting evidence. </w:t>
            </w:r>
          </w:p>
          <w:p w14:paraId="0EDD01AC" w14:textId="0A2DA220" w:rsidR="001D7282" w:rsidRPr="00F66630" w:rsidRDefault="002F3854" w:rsidP="001D7282">
            <w:pPr>
              <w:pStyle w:val="ListParagraph"/>
              <w:numPr>
                <w:ilvl w:val="0"/>
                <w:numId w:val="24"/>
              </w:numPr>
              <w:rPr>
                <w:rFonts w:ascii="Times New Roman" w:hAnsi="Times New Roman" w:cs="Times New Roman"/>
              </w:rPr>
            </w:pPr>
            <w:r w:rsidRPr="00F66630">
              <w:rPr>
                <w:rFonts w:ascii="Times New Roman" w:hAnsi="Times New Roman" w:cs="Times New Roman"/>
              </w:rPr>
              <w:t xml:space="preserve">Calculate </w:t>
            </w:r>
            <w:r w:rsidR="00DC309B" w:rsidRPr="00F66630">
              <w:rPr>
                <w:rFonts w:ascii="Times New Roman" w:hAnsi="Times New Roman" w:cs="Times New Roman"/>
              </w:rPr>
              <w:t>the total state revenue collected during the year as reported in the audited financial statement with appropriate adjustments to exclude inflows from financing and savings items and reimbursables</w:t>
            </w:r>
            <w:r w:rsidR="00C65AF1" w:rsidRPr="00F66630">
              <w:rPr>
                <w:rFonts w:ascii="Times New Roman" w:hAnsi="Times New Roman" w:cs="Times New Roman"/>
              </w:rPr>
              <w:t xml:space="preserve"> and produce</w:t>
            </w:r>
            <w:r w:rsidR="001949E5" w:rsidRPr="00F66630">
              <w:rPr>
                <w:rFonts w:ascii="Times New Roman" w:hAnsi="Times New Roman" w:cs="Times New Roman"/>
              </w:rPr>
              <w:t xml:space="preserve"> the table below</w:t>
            </w:r>
            <w:r w:rsidR="001D7282" w:rsidRPr="00F66630">
              <w:rPr>
                <w:rFonts w:ascii="Times New Roman" w:hAnsi="Times New Roman" w:cs="Times New Roman"/>
              </w:rPr>
              <w:t>. The IVA to indicate where it has used the OAGF/NBS FAAC data</w:t>
            </w:r>
            <w:r w:rsidR="003A186B" w:rsidRPr="00F66630">
              <w:rPr>
                <w:rFonts w:ascii="Times New Roman" w:hAnsi="Times New Roman" w:cs="Times New Roman"/>
              </w:rPr>
              <w:t xml:space="preserve"> </w:t>
            </w:r>
            <w:r w:rsidR="001D7282" w:rsidRPr="00F66630">
              <w:rPr>
                <w:rFonts w:ascii="Times New Roman" w:hAnsi="Times New Roman" w:cs="Times New Roman"/>
              </w:rPr>
              <w:t xml:space="preserve">for the </w:t>
            </w:r>
            <w:r w:rsidR="000B397E" w:rsidRPr="00F66630">
              <w:rPr>
                <w:rFonts w:ascii="Times New Roman" w:hAnsi="Times New Roman" w:cs="Times New Roman"/>
              </w:rPr>
              <w:t xml:space="preserve">Statutory Transfers (gross statutory allocation, derivation and other FAAC transfers) and VAT components </w:t>
            </w:r>
            <w:r w:rsidR="001D7282" w:rsidRPr="00F66630">
              <w:rPr>
                <w:rFonts w:ascii="Times New Roman" w:hAnsi="Times New Roman" w:cs="Times New Roman"/>
              </w:rPr>
              <w:t>of total State revenue rather than the States’ AFS and reason for doing this. Note that using OAGF/NBS FAAC database figures is okay if the AFS FAAC component of state revenue figures are in doubt as these are official figures on the FAAC transfers to States.</w:t>
            </w:r>
          </w:p>
          <w:p w14:paraId="41F7D366" w14:textId="70FD0284" w:rsidR="006D23C9" w:rsidRPr="00F66630" w:rsidRDefault="006D23C9" w:rsidP="007455B4">
            <w:pPr>
              <w:pStyle w:val="ListParagraph"/>
              <w:numPr>
                <w:ilvl w:val="0"/>
                <w:numId w:val="24"/>
              </w:numPr>
              <w:spacing w:after="120"/>
              <w:rPr>
                <w:rFonts w:ascii="Times New Roman" w:hAnsi="Times New Roman" w:cs="Times New Roman"/>
              </w:rPr>
            </w:pPr>
            <w:r w:rsidRPr="00F66630">
              <w:rPr>
                <w:rFonts w:ascii="Times New Roman" w:hAnsi="Times New Roman" w:cs="Times New Roman"/>
              </w:rPr>
              <w:t xml:space="preserve">The total debt stock at year-end in the SDEDR with necessary adjustments from 1) and 2) will be used to calculate the ratio of total debt stock at end-of-year to the total state revenue (calculated) and confirm if it meets the basic or stretch result for the year of assessment. </w:t>
            </w:r>
          </w:p>
          <w:p w14:paraId="5B75D7FB" w14:textId="77777777" w:rsidR="006D23C9" w:rsidRPr="00F66630" w:rsidRDefault="006D23C9" w:rsidP="007455B4">
            <w:pPr>
              <w:pStyle w:val="ListParagraph"/>
              <w:numPr>
                <w:ilvl w:val="0"/>
                <w:numId w:val="24"/>
              </w:numPr>
              <w:spacing w:after="120"/>
              <w:rPr>
                <w:rFonts w:ascii="Times New Roman" w:hAnsi="Times New Roman" w:cs="Times New Roman"/>
              </w:rPr>
            </w:pPr>
            <w:r w:rsidRPr="00F66630">
              <w:rPr>
                <w:rFonts w:ascii="Times New Roman" w:hAnsi="Times New Roman" w:cs="Times New Roman"/>
              </w:rPr>
              <w:t>Cross-check the FMOF Home Finance report on FAAC allocation and deductions with OAGF FAAC data (reported by NBS online). If there are differences, discuss with FMOF Home Finance to resolve the differences.</w:t>
            </w:r>
          </w:p>
          <w:p w14:paraId="747EDD2C" w14:textId="52EB8F8D" w:rsidR="006D23C9" w:rsidRPr="00F66630" w:rsidRDefault="006D23C9" w:rsidP="007455B4">
            <w:pPr>
              <w:pStyle w:val="ListParagraph"/>
              <w:numPr>
                <w:ilvl w:val="0"/>
                <w:numId w:val="24"/>
              </w:numPr>
              <w:spacing w:after="120"/>
              <w:rPr>
                <w:rFonts w:ascii="Times New Roman" w:hAnsi="Times New Roman" w:cs="Times New Roman"/>
              </w:rPr>
            </w:pPr>
            <w:r w:rsidRPr="00F66630">
              <w:rPr>
                <w:rFonts w:ascii="Times New Roman" w:hAnsi="Times New Roman" w:cs="Times New Roman"/>
              </w:rPr>
              <w:t>Calculate the ratio of the total monthly debt service deductions from FAAC allocation during the calendar year to the gross FAAC allocation for the same year and confirm whether it is less than 40%.</w:t>
            </w:r>
          </w:p>
          <w:p w14:paraId="6BFCBE5C" w14:textId="3B554EA2" w:rsidR="00E22E81" w:rsidRPr="00F66630" w:rsidRDefault="00E22E81" w:rsidP="00E22E81">
            <w:pPr>
              <w:pStyle w:val="ListParagraph"/>
              <w:spacing w:after="120"/>
              <w:rPr>
                <w:rFonts w:ascii="Times New Roman" w:hAnsi="Times New Roman" w:cs="Times New Roman"/>
              </w:rPr>
            </w:pPr>
          </w:p>
          <w:p w14:paraId="01717299" w14:textId="13313780" w:rsidR="00981B20" w:rsidRPr="00F66630" w:rsidRDefault="00E22E81" w:rsidP="00E22E81">
            <w:pPr>
              <w:pStyle w:val="ListParagraph"/>
              <w:spacing w:after="120"/>
              <w:rPr>
                <w:rFonts w:ascii="Times New Roman" w:hAnsi="Times New Roman" w:cs="Times New Roman"/>
              </w:rPr>
            </w:pPr>
            <w:r w:rsidRPr="00F66630">
              <w:rPr>
                <w:noProof/>
              </w:rPr>
              <w:lastRenderedPageBreak/>
              <w:drawing>
                <wp:inline distT="0" distB="0" distL="0" distR="0" wp14:anchorId="6A20EF80" wp14:editId="3F23F770">
                  <wp:extent cx="773909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747792" cy="5511641"/>
                          </a:xfrm>
                          <a:prstGeom prst="rect">
                            <a:avLst/>
                          </a:prstGeom>
                        </pic:spPr>
                      </pic:pic>
                    </a:graphicData>
                  </a:graphic>
                </wp:inline>
              </w:drawing>
            </w:r>
            <w:r w:rsidR="00BF16B9" w:rsidRPr="00F66630">
              <w:rPr>
                <w:rFonts w:ascii="Times New Roman" w:hAnsi="Times New Roman" w:cs="Times New Roman"/>
              </w:rPr>
              <w:t xml:space="preserve"> </w:t>
            </w:r>
          </w:p>
        </w:tc>
      </w:tr>
    </w:tbl>
    <w:p w14:paraId="7A7D47FB" w14:textId="5D572C6C" w:rsidR="00BF16B9" w:rsidRPr="00F66630" w:rsidRDefault="00BF16B9" w:rsidP="00197EA1">
      <w:pPr>
        <w:rPr>
          <w:rFonts w:ascii="Times New Roman" w:eastAsia="Times New Roman" w:hAnsi="Times New Roman" w:cs="Times New Roman"/>
          <w:b/>
          <w:spacing w:val="4"/>
          <w:sz w:val="20"/>
          <w:szCs w:val="20"/>
        </w:rPr>
      </w:pPr>
    </w:p>
    <w:p w14:paraId="3A41B9BF" w14:textId="70D0AB92" w:rsidR="00D05F18" w:rsidRPr="00F66630" w:rsidRDefault="00D05F18" w:rsidP="001A0758">
      <w:pPr>
        <w:pStyle w:val="Minh"/>
        <w:numPr>
          <w:ilvl w:val="0"/>
          <w:numId w:val="0"/>
        </w:numPr>
        <w:spacing w:before="0"/>
        <w:jc w:val="left"/>
        <w:outlineLvl w:val="0"/>
        <w:rPr>
          <w:b/>
        </w:rPr>
      </w:pPr>
      <w:bookmarkStart w:id="35" w:name="_Toc107345856"/>
      <w:r w:rsidRPr="00F66630">
        <w:rPr>
          <w:b/>
        </w:rPr>
        <w:lastRenderedPageBreak/>
        <w:t>NEW DLIs: Eligibility Criteria (EC) and Disbursement-linked Result (DLR) Verification Protocol</w:t>
      </w:r>
      <w:bookmarkEnd w:id="35"/>
    </w:p>
    <w:p w14:paraId="1052E712" w14:textId="77777777" w:rsidR="00423C81" w:rsidRPr="00F66630" w:rsidRDefault="00423C81" w:rsidP="00423C81">
      <w:pPr>
        <w:pStyle w:val="Minh"/>
        <w:numPr>
          <w:ilvl w:val="0"/>
          <w:numId w:val="0"/>
        </w:numPr>
        <w:spacing w:before="0"/>
        <w:jc w:val="left"/>
        <w:outlineLvl w:val="0"/>
        <w:rPr>
          <w:b/>
        </w:rPr>
      </w:pPr>
    </w:p>
    <w:tbl>
      <w:tblPr>
        <w:tblStyle w:val="TableGrid"/>
        <w:tblW w:w="5315" w:type="pct"/>
        <w:tblLook w:val="04A0" w:firstRow="1" w:lastRow="0" w:firstColumn="1" w:lastColumn="0" w:noHBand="0" w:noVBand="1"/>
      </w:tblPr>
      <w:tblGrid>
        <w:gridCol w:w="6385"/>
        <w:gridCol w:w="7381"/>
      </w:tblGrid>
      <w:tr w:rsidR="00E44BD2" w:rsidRPr="00F66630" w14:paraId="0890A292" w14:textId="77777777" w:rsidTr="001B53C9">
        <w:trPr>
          <w:trHeight w:val="395"/>
        </w:trPr>
        <w:tc>
          <w:tcPr>
            <w:tcW w:w="5000" w:type="pct"/>
            <w:gridSpan w:val="2"/>
            <w:shd w:val="clear" w:color="auto" w:fill="EAF1DD" w:themeFill="accent3" w:themeFillTint="33"/>
          </w:tcPr>
          <w:p w14:paraId="7F3AA9CA" w14:textId="01CE8A7C" w:rsidR="00E44BD2" w:rsidRPr="00F66630" w:rsidRDefault="00E44BD2" w:rsidP="001B53C9">
            <w:pPr>
              <w:pStyle w:val="Heading3"/>
              <w:numPr>
                <w:ilvl w:val="0"/>
                <w:numId w:val="0"/>
              </w:numPr>
              <w:spacing w:before="0" w:after="120"/>
              <w:outlineLvl w:val="2"/>
              <w:rPr>
                <w:rFonts w:eastAsia="Calibri" w:cs="Times New Roman"/>
                <w:sz w:val="22"/>
                <w:szCs w:val="22"/>
              </w:rPr>
            </w:pPr>
            <w:bookmarkStart w:id="36" w:name="_Toc107345857"/>
            <w:r w:rsidRPr="00F66630">
              <w:rPr>
                <w:rFonts w:eastAsia="Calibri" w:cs="Times New Roman"/>
                <w:sz w:val="22"/>
                <w:szCs w:val="22"/>
              </w:rPr>
              <w:t>Eligibility Criteria</w:t>
            </w:r>
            <w:r w:rsidR="00422B15" w:rsidRPr="00F66630">
              <w:rPr>
                <w:rFonts w:eastAsia="Calibri" w:cs="Times New Roman"/>
                <w:sz w:val="22"/>
                <w:szCs w:val="22"/>
              </w:rPr>
              <w:t xml:space="preserve"> for NEW 2020 </w:t>
            </w:r>
            <w:r w:rsidR="00F7072A" w:rsidRPr="00F66630">
              <w:rPr>
                <w:rFonts w:eastAsia="Calibri" w:cs="Times New Roman"/>
                <w:sz w:val="22"/>
                <w:szCs w:val="22"/>
              </w:rPr>
              <w:t xml:space="preserve">and 2021 </w:t>
            </w:r>
            <w:r w:rsidR="00422B15" w:rsidRPr="00F66630">
              <w:rPr>
                <w:rFonts w:eastAsia="Calibri" w:cs="Times New Roman"/>
                <w:sz w:val="22"/>
                <w:szCs w:val="22"/>
              </w:rPr>
              <w:t>DLIs</w:t>
            </w:r>
            <w:bookmarkEnd w:id="36"/>
          </w:p>
        </w:tc>
      </w:tr>
      <w:tr w:rsidR="00E44BD2" w:rsidRPr="00F66630" w14:paraId="47023AD5" w14:textId="77777777" w:rsidTr="00422B15">
        <w:trPr>
          <w:trHeight w:val="350"/>
        </w:trPr>
        <w:tc>
          <w:tcPr>
            <w:tcW w:w="2319" w:type="pct"/>
            <w:shd w:val="clear" w:color="auto" w:fill="FDE9D9" w:themeFill="accent6" w:themeFillTint="33"/>
          </w:tcPr>
          <w:p w14:paraId="2FB97C01" w14:textId="77777777" w:rsidR="00E44BD2" w:rsidRPr="00F66630" w:rsidRDefault="00E44BD2" w:rsidP="00C50865">
            <w:pPr>
              <w:rPr>
                <w:rFonts w:ascii="Times New Roman" w:hAnsi="Times New Roman" w:cs="Times New Roman"/>
                <w:b/>
                <w:i/>
              </w:rPr>
            </w:pPr>
            <w:r w:rsidRPr="00F66630">
              <w:rPr>
                <w:rFonts w:ascii="Times New Roman" w:hAnsi="Times New Roman" w:cs="Times New Roman"/>
                <w:b/>
                <w:i/>
              </w:rPr>
              <w:t>Description in EC Table</w:t>
            </w:r>
          </w:p>
        </w:tc>
        <w:tc>
          <w:tcPr>
            <w:tcW w:w="2681" w:type="pct"/>
            <w:shd w:val="clear" w:color="auto" w:fill="FDE9D9" w:themeFill="accent6" w:themeFillTint="33"/>
          </w:tcPr>
          <w:p w14:paraId="79D6F858" w14:textId="77777777" w:rsidR="00E44BD2" w:rsidRPr="00F66630" w:rsidRDefault="00E44BD2" w:rsidP="00C50865">
            <w:pPr>
              <w:pStyle w:val="NoSpacing"/>
              <w:rPr>
                <w:rFonts w:ascii="Times New Roman" w:hAnsi="Times New Roman" w:cs="Times New Roman"/>
                <w:b/>
                <w:i/>
              </w:rPr>
            </w:pPr>
            <w:r w:rsidRPr="00F66630">
              <w:rPr>
                <w:rFonts w:ascii="Times New Roman" w:hAnsi="Times New Roman" w:cs="Times New Roman"/>
                <w:b/>
                <w:i/>
              </w:rPr>
              <w:t>Definition/Description of EC achievement</w:t>
            </w:r>
          </w:p>
        </w:tc>
      </w:tr>
      <w:tr w:rsidR="00E44BD2" w:rsidRPr="00F66630" w14:paraId="1564143F" w14:textId="77777777" w:rsidTr="00422B15">
        <w:tc>
          <w:tcPr>
            <w:tcW w:w="2319" w:type="pct"/>
          </w:tcPr>
          <w:p w14:paraId="30E767C3" w14:textId="73385A5C" w:rsidR="00E44BD2" w:rsidRPr="00F66630" w:rsidRDefault="00F7072A" w:rsidP="00422B15">
            <w:pPr>
              <w:spacing w:before="60" w:after="60"/>
              <w:rPr>
                <w:rFonts w:ascii="Times New Roman" w:hAnsi="Times New Roman" w:cs="Times New Roman"/>
              </w:rPr>
            </w:pPr>
            <w:r w:rsidRPr="00F66630">
              <w:rPr>
                <w:rFonts w:ascii="Times New Roman" w:hAnsi="Times New Roman" w:cs="Times New Roman"/>
              </w:rPr>
              <w:t xml:space="preserve">For the NEW 2020 DLIs: </w:t>
            </w:r>
            <w:r w:rsidR="00422B15" w:rsidRPr="00F66630">
              <w:rPr>
                <w:rFonts w:ascii="Times New Roman" w:hAnsi="Times New Roman" w:cs="Times New Roman"/>
              </w:rPr>
              <w:t>FY19 audited financial statement, prepared in accordance with IPSAS, submitted to the State Assembly and published by end of August 2020</w:t>
            </w:r>
          </w:p>
        </w:tc>
        <w:tc>
          <w:tcPr>
            <w:tcW w:w="2681" w:type="pct"/>
          </w:tcPr>
          <w:p w14:paraId="575C9244" w14:textId="095C66D1" w:rsidR="00E44BD2" w:rsidRPr="00F66630" w:rsidRDefault="00422B15" w:rsidP="00422B15">
            <w:pPr>
              <w:pStyle w:val="CommentText"/>
              <w:rPr>
                <w:rFonts w:ascii="Times New Roman" w:eastAsia="Times New Roman" w:hAnsi="Times New Roman" w:cs="Times New Roman"/>
                <w:i/>
                <w:iCs/>
                <w:sz w:val="22"/>
                <w:szCs w:val="22"/>
              </w:rPr>
            </w:pPr>
            <w:r w:rsidRPr="00F66630">
              <w:rPr>
                <w:rFonts w:ascii="Times New Roman" w:hAnsi="Times New Roman" w:cs="Times New Roman"/>
                <w:i/>
                <w:iCs/>
                <w:sz w:val="22"/>
                <w:szCs w:val="22"/>
              </w:rPr>
              <w:t xml:space="preserve">This is </w:t>
            </w:r>
            <w:r w:rsidR="00BF5213" w:rsidRPr="00F66630">
              <w:rPr>
                <w:rFonts w:ascii="Times New Roman" w:hAnsi="Times New Roman" w:cs="Times New Roman"/>
                <w:i/>
                <w:iCs/>
                <w:sz w:val="22"/>
                <w:szCs w:val="22"/>
              </w:rPr>
              <w:t xml:space="preserve">the </w:t>
            </w:r>
            <w:r w:rsidRPr="00F66630">
              <w:rPr>
                <w:rFonts w:ascii="Times New Roman" w:hAnsi="Times New Roman" w:cs="Times New Roman"/>
                <w:i/>
                <w:iCs/>
                <w:sz w:val="22"/>
                <w:szCs w:val="22"/>
              </w:rPr>
              <w:t>same as Part 2 of the Original Program Year 3-2020 Eligibility Criteria</w:t>
            </w:r>
            <w:r w:rsidR="001B53C9" w:rsidRPr="00F66630">
              <w:rPr>
                <w:rFonts w:ascii="Times New Roman" w:hAnsi="Times New Roman" w:cs="Times New Roman"/>
                <w:i/>
                <w:iCs/>
                <w:sz w:val="22"/>
                <w:szCs w:val="22"/>
              </w:rPr>
              <w:t xml:space="preserve"> - </w:t>
            </w:r>
            <w:r w:rsidRPr="00F66630">
              <w:rPr>
                <w:rFonts w:ascii="Times New Roman" w:eastAsia="Times New Roman" w:hAnsi="Times New Roman" w:cs="Times New Roman"/>
                <w:i/>
                <w:iCs/>
                <w:sz w:val="22"/>
                <w:szCs w:val="22"/>
              </w:rPr>
              <w:t xml:space="preserve">See Section </w:t>
            </w:r>
            <w:r w:rsidR="002954C0" w:rsidRPr="00F66630">
              <w:rPr>
                <w:rFonts w:ascii="Times New Roman" w:eastAsia="Times New Roman" w:hAnsi="Times New Roman" w:cs="Times New Roman"/>
                <w:i/>
                <w:iCs/>
                <w:sz w:val="22"/>
                <w:szCs w:val="22"/>
              </w:rPr>
              <w:t>D</w:t>
            </w:r>
          </w:p>
        </w:tc>
      </w:tr>
      <w:tr w:rsidR="00F7072A" w:rsidRPr="00F66630" w14:paraId="39DA9190" w14:textId="77777777" w:rsidTr="00C50865">
        <w:tc>
          <w:tcPr>
            <w:tcW w:w="2319" w:type="pct"/>
          </w:tcPr>
          <w:p w14:paraId="6D2D6EB4" w14:textId="32D89D52" w:rsidR="00F7072A" w:rsidRPr="00F66630" w:rsidRDefault="00F7072A" w:rsidP="00C50865">
            <w:pPr>
              <w:spacing w:before="60" w:after="60"/>
              <w:rPr>
                <w:rFonts w:ascii="Times New Roman" w:hAnsi="Times New Roman" w:cs="Times New Roman"/>
              </w:rPr>
            </w:pPr>
            <w:r w:rsidRPr="00F66630">
              <w:rPr>
                <w:rFonts w:ascii="Times New Roman" w:hAnsi="Times New Roman" w:cs="Times New Roman"/>
              </w:rPr>
              <w:t xml:space="preserve">For the NEW 2021 DLIs: FY21 State budget, prepared under the National Chart of Accounts, approved by the State </w:t>
            </w:r>
            <w:proofErr w:type="gramStart"/>
            <w:r w:rsidRPr="00F66630">
              <w:rPr>
                <w:rFonts w:ascii="Times New Roman" w:hAnsi="Times New Roman" w:cs="Times New Roman"/>
              </w:rPr>
              <w:t>Assembly</w:t>
            </w:r>
            <w:proofErr w:type="gramEnd"/>
            <w:r w:rsidRPr="00F66630">
              <w:rPr>
                <w:rFonts w:ascii="Times New Roman" w:hAnsi="Times New Roman" w:cs="Times New Roman"/>
              </w:rPr>
              <w:t xml:space="preserve"> and published online by end of January 2021</w:t>
            </w:r>
          </w:p>
        </w:tc>
        <w:tc>
          <w:tcPr>
            <w:tcW w:w="2681" w:type="pct"/>
          </w:tcPr>
          <w:p w14:paraId="02FCDEBD" w14:textId="53AE7448" w:rsidR="00F7072A" w:rsidRPr="00F66630" w:rsidRDefault="00F7072A" w:rsidP="00C50865">
            <w:pPr>
              <w:pStyle w:val="CommentText"/>
              <w:rPr>
                <w:rFonts w:ascii="Times New Roman" w:eastAsia="Times New Roman" w:hAnsi="Times New Roman" w:cs="Times New Roman"/>
                <w:i/>
                <w:iCs/>
                <w:sz w:val="22"/>
                <w:szCs w:val="22"/>
              </w:rPr>
            </w:pPr>
            <w:r w:rsidRPr="00F66630">
              <w:rPr>
                <w:rFonts w:ascii="Times New Roman" w:hAnsi="Times New Roman" w:cs="Times New Roman"/>
                <w:i/>
                <w:iCs/>
                <w:sz w:val="22"/>
                <w:szCs w:val="22"/>
              </w:rPr>
              <w:t xml:space="preserve">This is </w:t>
            </w:r>
            <w:r w:rsidR="00BF5213" w:rsidRPr="00F66630">
              <w:rPr>
                <w:rFonts w:ascii="Times New Roman" w:hAnsi="Times New Roman" w:cs="Times New Roman"/>
                <w:i/>
                <w:iCs/>
                <w:sz w:val="22"/>
                <w:szCs w:val="22"/>
              </w:rPr>
              <w:t xml:space="preserve">the </w:t>
            </w:r>
            <w:r w:rsidRPr="00F66630">
              <w:rPr>
                <w:rFonts w:ascii="Times New Roman" w:hAnsi="Times New Roman" w:cs="Times New Roman"/>
                <w:i/>
                <w:iCs/>
                <w:sz w:val="22"/>
                <w:szCs w:val="22"/>
              </w:rPr>
              <w:t>same as Part 1 of the Original Program Year 3-2020 Eligibility Criteria</w:t>
            </w:r>
            <w:r w:rsidR="001B53C9" w:rsidRPr="00F66630">
              <w:rPr>
                <w:rFonts w:ascii="Times New Roman" w:hAnsi="Times New Roman" w:cs="Times New Roman"/>
                <w:i/>
                <w:iCs/>
                <w:sz w:val="22"/>
                <w:szCs w:val="22"/>
              </w:rPr>
              <w:t xml:space="preserve"> - </w:t>
            </w:r>
          </w:p>
          <w:p w14:paraId="39F9A924" w14:textId="7D4B3271" w:rsidR="00F7072A" w:rsidRPr="00F66630" w:rsidRDefault="002954C0" w:rsidP="00C50865">
            <w:pPr>
              <w:pStyle w:val="CommentText"/>
              <w:rPr>
                <w:rFonts w:ascii="Times New Roman" w:hAnsi="Times New Roman" w:cs="Times New Roman"/>
                <w:i/>
                <w:iCs/>
                <w:sz w:val="22"/>
                <w:szCs w:val="22"/>
              </w:rPr>
            </w:pPr>
            <w:r w:rsidRPr="00F66630">
              <w:rPr>
                <w:rFonts w:ascii="Times New Roman" w:eastAsia="Times New Roman" w:hAnsi="Times New Roman" w:cs="Times New Roman"/>
                <w:i/>
                <w:iCs/>
                <w:sz w:val="22"/>
                <w:szCs w:val="22"/>
              </w:rPr>
              <w:t>See Section D</w:t>
            </w:r>
          </w:p>
        </w:tc>
      </w:tr>
      <w:tr w:rsidR="00E44BD2" w:rsidRPr="00F66630" w14:paraId="562EA572" w14:textId="77777777" w:rsidTr="00C50865">
        <w:tc>
          <w:tcPr>
            <w:tcW w:w="5000" w:type="pct"/>
            <w:gridSpan w:val="2"/>
            <w:shd w:val="clear" w:color="auto" w:fill="FDE9D9" w:themeFill="accent6" w:themeFillTint="33"/>
          </w:tcPr>
          <w:p w14:paraId="3B696AB0" w14:textId="55A5AE8B" w:rsidR="00E44BD2" w:rsidRPr="00F66630" w:rsidRDefault="00E44BD2" w:rsidP="00C50865">
            <w:pPr>
              <w:rPr>
                <w:rFonts w:ascii="Times New Roman" w:hAnsi="Times New Roman" w:cs="Times New Roman"/>
                <w:b/>
                <w:i/>
              </w:rPr>
            </w:pPr>
            <w:r w:rsidRPr="00F66630">
              <w:rPr>
                <w:rFonts w:ascii="Times New Roman" w:hAnsi="Times New Roman" w:cs="Times New Roman"/>
                <w:b/>
                <w:i/>
              </w:rPr>
              <w:t xml:space="preserve">Data Source and Procedures to assess </w:t>
            </w:r>
            <w:r w:rsidR="0038602C" w:rsidRPr="00F66630">
              <w:rPr>
                <w:rFonts w:ascii="Times New Roman" w:hAnsi="Times New Roman" w:cs="Times New Roman"/>
                <w:b/>
                <w:i/>
              </w:rPr>
              <w:t>achievement -</w:t>
            </w:r>
            <w:r w:rsidR="00804DDC" w:rsidRPr="00F66630">
              <w:rPr>
                <w:rFonts w:ascii="Times New Roman" w:hAnsi="Times New Roman" w:cs="Times New Roman"/>
                <w:b/>
                <w:i/>
              </w:rPr>
              <w:t xml:space="preserve"> See Section D</w:t>
            </w:r>
          </w:p>
        </w:tc>
      </w:tr>
    </w:tbl>
    <w:p w14:paraId="1607682A" w14:textId="77777777" w:rsidR="00423C81" w:rsidRPr="00F66630" w:rsidRDefault="00423C81">
      <w:r w:rsidRPr="00F66630">
        <w:br w:type="page"/>
      </w:r>
    </w:p>
    <w:tbl>
      <w:tblPr>
        <w:tblStyle w:val="TableGrid"/>
        <w:tblW w:w="5315" w:type="pct"/>
        <w:tblLook w:val="04A0" w:firstRow="1" w:lastRow="0" w:firstColumn="1" w:lastColumn="0" w:noHBand="0" w:noVBand="1"/>
      </w:tblPr>
      <w:tblGrid>
        <w:gridCol w:w="3775"/>
        <w:gridCol w:w="9991"/>
      </w:tblGrid>
      <w:tr w:rsidR="0095291E" w:rsidRPr="00F66630" w14:paraId="48015104" w14:textId="77777777" w:rsidTr="004627E0">
        <w:trPr>
          <w:trHeight w:val="206"/>
        </w:trPr>
        <w:tc>
          <w:tcPr>
            <w:tcW w:w="5000" w:type="pct"/>
            <w:gridSpan w:val="2"/>
            <w:shd w:val="clear" w:color="auto" w:fill="EAF1DD" w:themeFill="accent3" w:themeFillTint="33"/>
          </w:tcPr>
          <w:p w14:paraId="74FF0386" w14:textId="577747B9" w:rsidR="006578C6" w:rsidRPr="00F66630" w:rsidRDefault="00120100" w:rsidP="007068FA">
            <w:pPr>
              <w:spacing w:after="120"/>
              <w:rPr>
                <w:rFonts w:ascii="Times New Roman" w:hAnsi="Times New Roman"/>
              </w:rPr>
            </w:pPr>
            <w:r w:rsidRPr="00F66630">
              <w:rPr>
                <w:rFonts w:ascii="Times New Roman" w:hAnsi="Times New Roman"/>
                <w:b/>
                <w:bCs/>
              </w:rPr>
              <w:lastRenderedPageBreak/>
              <w:t>DLI 10. Enhanced transparency and accountability of funds in the COVID-19 response and resilient recovery phases</w:t>
            </w:r>
          </w:p>
          <w:p w14:paraId="3520D7BE" w14:textId="79DF7ACA" w:rsidR="0095291E" w:rsidRPr="00F66630" w:rsidRDefault="00E654DF" w:rsidP="007068FA">
            <w:pPr>
              <w:pStyle w:val="Heading3"/>
              <w:numPr>
                <w:ilvl w:val="0"/>
                <w:numId w:val="0"/>
              </w:numPr>
              <w:spacing w:before="0" w:after="120"/>
              <w:outlineLvl w:val="2"/>
              <w:rPr>
                <w:i/>
                <w:iCs/>
                <w:sz w:val="22"/>
                <w:szCs w:val="22"/>
              </w:rPr>
            </w:pPr>
            <w:bookmarkStart w:id="37" w:name="_Toc107345858"/>
            <w:r w:rsidRPr="00F66630">
              <w:rPr>
                <w:i/>
                <w:iCs/>
                <w:sz w:val="22"/>
                <w:szCs w:val="22"/>
              </w:rPr>
              <w:t>DL</w:t>
            </w:r>
            <w:r w:rsidR="00E51DBF" w:rsidRPr="00F66630">
              <w:rPr>
                <w:i/>
                <w:iCs/>
                <w:sz w:val="22"/>
                <w:szCs w:val="22"/>
              </w:rPr>
              <w:t>R</w:t>
            </w:r>
            <w:r w:rsidRPr="00F66630">
              <w:rPr>
                <w:i/>
                <w:iCs/>
                <w:sz w:val="22"/>
                <w:szCs w:val="22"/>
              </w:rPr>
              <w:t xml:space="preserve"> 10.1</w:t>
            </w:r>
            <w:r w:rsidR="0095291E" w:rsidRPr="00F66630">
              <w:rPr>
                <w:i/>
                <w:iCs/>
                <w:sz w:val="22"/>
                <w:szCs w:val="22"/>
              </w:rPr>
              <w:t>: Strengthened transparency of local government funds by publishing audited financial statements of all local governments within the state for FY18</w:t>
            </w:r>
            <w:r w:rsidR="009C5DCE" w:rsidRPr="00F66630">
              <w:rPr>
                <w:i/>
                <w:iCs/>
                <w:sz w:val="22"/>
                <w:szCs w:val="22"/>
              </w:rPr>
              <w:t xml:space="preserve">, </w:t>
            </w:r>
            <w:r w:rsidR="0095291E" w:rsidRPr="00F66630">
              <w:rPr>
                <w:i/>
                <w:iCs/>
                <w:sz w:val="22"/>
                <w:szCs w:val="22"/>
              </w:rPr>
              <w:t>FY19</w:t>
            </w:r>
            <w:r w:rsidR="009C5DCE" w:rsidRPr="00F66630">
              <w:rPr>
                <w:i/>
                <w:iCs/>
                <w:sz w:val="22"/>
                <w:szCs w:val="22"/>
              </w:rPr>
              <w:t xml:space="preserve"> and FY20</w:t>
            </w:r>
            <w:r w:rsidR="0095291E" w:rsidRPr="00F66630">
              <w:rPr>
                <w:i/>
                <w:iCs/>
                <w:sz w:val="22"/>
                <w:szCs w:val="22"/>
              </w:rPr>
              <w:t>, including SLJAAC transfers</w:t>
            </w:r>
            <w:bookmarkEnd w:id="37"/>
          </w:p>
        </w:tc>
      </w:tr>
      <w:tr w:rsidR="0095291E" w:rsidRPr="00F66630" w14:paraId="4F6B6ADA" w14:textId="77777777" w:rsidTr="004627E0">
        <w:trPr>
          <w:trHeight w:val="470"/>
        </w:trPr>
        <w:tc>
          <w:tcPr>
            <w:tcW w:w="1371" w:type="pct"/>
            <w:shd w:val="clear" w:color="auto" w:fill="FDE9D9" w:themeFill="accent6" w:themeFillTint="33"/>
          </w:tcPr>
          <w:p w14:paraId="758DDABF"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DLR description as per DLI Matrix</w:t>
            </w:r>
          </w:p>
        </w:tc>
        <w:tc>
          <w:tcPr>
            <w:tcW w:w="3629" w:type="pct"/>
            <w:shd w:val="clear" w:color="auto" w:fill="FDE9D9" w:themeFill="accent6" w:themeFillTint="33"/>
          </w:tcPr>
          <w:p w14:paraId="5E0DB87D"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51C1A402" w14:textId="77777777" w:rsidTr="004627E0">
        <w:tc>
          <w:tcPr>
            <w:tcW w:w="1371" w:type="pct"/>
          </w:tcPr>
          <w:p w14:paraId="66EF060F" w14:textId="0D7699D6" w:rsidR="0095291E" w:rsidRPr="00F66630" w:rsidRDefault="000907DC" w:rsidP="004627E0">
            <w:pPr>
              <w:pStyle w:val="BodyText"/>
              <w:rPr>
                <w:rFonts w:ascii="Times New Roman" w:hAnsi="Times New Roman" w:cs="Times New Roman"/>
              </w:rPr>
            </w:pPr>
            <w:r w:rsidRPr="00F66630">
              <w:rPr>
                <w:rFonts w:ascii="Times New Roman" w:hAnsi="Times New Roman" w:cs="Times New Roman"/>
                <w:b/>
                <w:bCs/>
              </w:rPr>
              <w:t xml:space="preserve">10.1 (2020) </w:t>
            </w:r>
            <w:r w:rsidR="0095291E" w:rsidRPr="00F66630">
              <w:rPr>
                <w:rFonts w:ascii="Times New Roman" w:hAnsi="Times New Roman" w:cs="Times New Roman"/>
              </w:rPr>
              <w:t xml:space="preserve">No later than December 31, 2020, the audited financial statements of all local governments (LGs) in the Participating State for FY 2018 AND the audited financial statements of all LGs in the Participating State for FY 2019, including all allocations and actual receipts of state-local government joint account allocation committee (SLJAAC) transfers for each LG in the Participating State, have been published on a State official website. </w:t>
            </w:r>
          </w:p>
          <w:p w14:paraId="7AC8579F" w14:textId="77777777" w:rsidR="0095291E" w:rsidRPr="00F66630" w:rsidRDefault="0095291E" w:rsidP="004627E0">
            <w:pPr>
              <w:spacing w:after="120"/>
              <w:rPr>
                <w:rFonts w:ascii="Times New Roman" w:hAnsi="Times New Roman" w:cs="Times New Roman"/>
              </w:rPr>
            </w:pPr>
          </w:p>
        </w:tc>
        <w:tc>
          <w:tcPr>
            <w:tcW w:w="3629" w:type="pct"/>
          </w:tcPr>
          <w:p w14:paraId="72D6575C" w14:textId="19F8635D"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To achieve this DL</w:t>
            </w:r>
            <w:r w:rsidR="003C26F9" w:rsidRPr="00F66630">
              <w:rPr>
                <w:rFonts w:ascii="Times New Roman" w:hAnsi="Times New Roman" w:cs="Times New Roman"/>
                <w:noProof/>
              </w:rPr>
              <w:t>R</w:t>
            </w:r>
            <w:r w:rsidRPr="00F66630">
              <w:rPr>
                <w:rFonts w:ascii="Times New Roman" w:hAnsi="Times New Roman" w:cs="Times New Roman"/>
                <w:noProof/>
              </w:rPr>
              <w:t>, ALL the following need to be achieved:</w:t>
            </w:r>
          </w:p>
          <w:p w14:paraId="23E25424" w14:textId="6908983C"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Published online on an official State website by December 31, 2020:</w:t>
            </w:r>
          </w:p>
          <w:p w14:paraId="15BF8E6D" w14:textId="50726191"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1. The Audited Financial Statements* of all local government authorities** within the State for fiscal year 2018</w:t>
            </w:r>
            <w:r w:rsidR="00AF5C51" w:rsidRPr="00F66630">
              <w:rPr>
                <w:rFonts w:ascii="Times New Roman" w:hAnsi="Times New Roman" w:cs="Times New Roman"/>
                <w:noProof/>
              </w:rPr>
              <w:t xml:space="preserve"> </w:t>
            </w:r>
            <w:r w:rsidRPr="00F66630">
              <w:rPr>
                <w:rFonts w:ascii="Times New Roman" w:hAnsi="Times New Roman" w:cs="Times New Roman"/>
                <w:noProof/>
              </w:rPr>
              <w:t>AND</w:t>
            </w:r>
          </w:p>
          <w:p w14:paraId="70C7B001" w14:textId="4389AC5B"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2. The Audited Financial Statements* of all local government authorities** within the State for fiscal year 2019***, which includes showing all allocations and actual receipts of state-local government joint account allocation committee (SLJAAC) transfers for each local government authority in the State.</w:t>
            </w:r>
          </w:p>
          <w:p w14:paraId="37B81059" w14:textId="77777777" w:rsidR="0095291E" w:rsidRPr="00F66630" w:rsidRDefault="0095291E" w:rsidP="004627E0">
            <w:pPr>
              <w:spacing w:line="256" w:lineRule="auto"/>
              <w:rPr>
                <w:rFonts w:ascii="Times New Roman" w:hAnsi="Times New Roman" w:cs="Times New Roman"/>
                <w:noProof/>
              </w:rPr>
            </w:pPr>
          </w:p>
          <w:p w14:paraId="2B57F515" w14:textId="3990CADC"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 xml:space="preserve">*The State Auditor-General for Local Government to conduct </w:t>
            </w:r>
            <w:r w:rsidR="00FC083E" w:rsidRPr="00F66630">
              <w:rPr>
                <w:rFonts w:ascii="Times New Roman" w:hAnsi="Times New Roman" w:cs="Times New Roman"/>
                <w:noProof/>
              </w:rPr>
              <w:t xml:space="preserve">financial and compliance audit </w:t>
            </w:r>
            <w:r w:rsidRPr="00F66630">
              <w:rPr>
                <w:rFonts w:ascii="Times New Roman" w:hAnsi="Times New Roman" w:cs="Times New Roman"/>
                <w:noProof/>
              </w:rPr>
              <w:t>and issue a report to the Governor &amp; State House of Assembly.</w:t>
            </w:r>
            <w:r w:rsidR="00A63145" w:rsidRPr="00F66630">
              <w:t xml:space="preserve"> </w:t>
            </w:r>
            <w:r w:rsidR="00A63145" w:rsidRPr="00F66630">
              <w:rPr>
                <w:rFonts w:ascii="Times New Roman" w:hAnsi="Times New Roman" w:cs="Times New Roman"/>
                <w:noProof/>
              </w:rPr>
              <w:t xml:space="preserve">For the publication of the LGA AFS, these should be accompanied by an audit opinion and a management letter. </w:t>
            </w:r>
            <w:r w:rsidR="006E24E2" w:rsidRPr="00F66630">
              <w:rPr>
                <w:rFonts w:ascii="Times New Roman" w:hAnsi="Times New Roman" w:cs="Times New Roman"/>
                <w:noProof/>
              </w:rPr>
              <w:t xml:space="preserve"> </w:t>
            </w:r>
            <w:r w:rsidR="00A63145" w:rsidRPr="00F66630">
              <w:rPr>
                <w:rFonts w:ascii="Times New Roman" w:hAnsi="Times New Roman" w:cs="Times New Roman"/>
                <w:noProof/>
              </w:rPr>
              <w:t>Where no management letter is issued, this should be noted by the IVA.</w:t>
            </w:r>
          </w:p>
          <w:p w14:paraId="6861FCCB" w14:textId="77777777"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**To show distinctly and separately, the financial position  of every individual LGA in the State</w:t>
            </w:r>
          </w:p>
          <w:p w14:paraId="3B2D3E73" w14:textId="66F91055" w:rsidR="00406AD8" w:rsidRPr="00F66630" w:rsidRDefault="0095291E" w:rsidP="002911D3">
            <w:pPr>
              <w:rPr>
                <w:rFonts w:ascii="Times New Roman" w:hAnsi="Times New Roman" w:cs="Times New Roman"/>
                <w:i/>
                <w:iCs/>
                <w:noProof/>
              </w:rPr>
            </w:pPr>
            <w:r w:rsidRPr="00F66630">
              <w:rPr>
                <w:rFonts w:ascii="Times New Roman" w:hAnsi="Times New Roman" w:cs="Times New Roman"/>
                <w:noProof/>
              </w:rPr>
              <w:t>***The 2019 Audit Report should explicitly comment on the completeness of the LGA finances included in the financial statements with regard to SLJAAC allocations received</w:t>
            </w:r>
            <w:r w:rsidR="006627B2" w:rsidRPr="00F66630">
              <w:rPr>
                <w:rFonts w:ascii="Times New Roman" w:hAnsi="Times New Roman" w:cs="Times New Roman"/>
                <w:noProof/>
              </w:rPr>
              <w:t xml:space="preserve">. </w:t>
            </w:r>
            <w:r w:rsidR="008B5C94" w:rsidRPr="00F66630">
              <w:rPr>
                <w:rFonts w:ascii="Times New Roman" w:hAnsi="Times New Roman" w:cs="Times New Roman"/>
                <w:i/>
                <w:iCs/>
                <w:noProof/>
              </w:rPr>
              <w:t xml:space="preserve">Note that if </w:t>
            </w:r>
            <w:r w:rsidR="00302294" w:rsidRPr="00F66630">
              <w:rPr>
                <w:rFonts w:ascii="Times New Roman" w:hAnsi="Times New Roman" w:cs="Times New Roman"/>
                <w:i/>
                <w:iCs/>
                <w:noProof/>
              </w:rPr>
              <w:t xml:space="preserve">the IVA </w:t>
            </w:r>
            <w:r w:rsidR="00FB39AD" w:rsidRPr="00F66630">
              <w:rPr>
                <w:rFonts w:ascii="Times New Roman" w:hAnsi="Times New Roman" w:cs="Times New Roman"/>
                <w:i/>
                <w:iCs/>
                <w:noProof/>
              </w:rPr>
              <w:t>is able to</w:t>
            </w:r>
            <w:r w:rsidR="00302294" w:rsidRPr="00F66630">
              <w:rPr>
                <w:rFonts w:ascii="Times New Roman" w:hAnsi="Times New Roman" w:cs="Times New Roman"/>
                <w:i/>
                <w:iCs/>
                <w:noProof/>
              </w:rPr>
              <w:t xml:space="preserve"> conclude that the</w:t>
            </w:r>
            <w:r w:rsidR="008B5C94" w:rsidRPr="00F66630">
              <w:rPr>
                <w:rFonts w:ascii="Times New Roman" w:hAnsi="Times New Roman" w:cs="Times New Roman"/>
                <w:i/>
                <w:iCs/>
                <w:noProof/>
              </w:rPr>
              <w:t xml:space="preserve"> </w:t>
            </w:r>
            <w:r w:rsidR="00302294" w:rsidRPr="00F66630">
              <w:rPr>
                <w:rFonts w:ascii="Times New Roman" w:hAnsi="Times New Roman" w:cs="Times New Roman"/>
                <w:i/>
                <w:iCs/>
                <w:noProof/>
              </w:rPr>
              <w:t>SLJAAC allocations and actual receipt</w:t>
            </w:r>
            <w:r w:rsidR="00DF7719" w:rsidRPr="00F66630">
              <w:rPr>
                <w:rFonts w:ascii="Times New Roman" w:hAnsi="Times New Roman" w:cs="Times New Roman"/>
                <w:i/>
                <w:iCs/>
                <w:noProof/>
              </w:rPr>
              <w:t xml:space="preserve"> information</w:t>
            </w:r>
            <w:r w:rsidR="00302294" w:rsidRPr="00F66630">
              <w:rPr>
                <w:rFonts w:ascii="Times New Roman" w:hAnsi="Times New Roman" w:cs="Times New Roman"/>
                <w:i/>
                <w:iCs/>
                <w:noProof/>
              </w:rPr>
              <w:t xml:space="preserve"> in the financial statements are complete</w:t>
            </w:r>
            <w:r w:rsidR="00DF7719" w:rsidRPr="00F66630">
              <w:rPr>
                <w:rFonts w:ascii="Times New Roman" w:hAnsi="Times New Roman" w:cs="Times New Roman"/>
                <w:i/>
                <w:iCs/>
                <w:noProof/>
              </w:rPr>
              <w:t xml:space="preserve">, the lack of an explicit comment in the report will not by itself </w:t>
            </w:r>
            <w:r w:rsidR="00FB39AD" w:rsidRPr="00F66630">
              <w:rPr>
                <w:rFonts w:ascii="Times New Roman" w:hAnsi="Times New Roman" w:cs="Times New Roman"/>
                <w:i/>
                <w:iCs/>
                <w:noProof/>
              </w:rPr>
              <w:t xml:space="preserve">lead to </w:t>
            </w:r>
            <w:r w:rsidR="00DF7719" w:rsidRPr="00F66630">
              <w:rPr>
                <w:rFonts w:ascii="Times New Roman" w:hAnsi="Times New Roman" w:cs="Times New Roman"/>
                <w:i/>
                <w:iCs/>
                <w:noProof/>
              </w:rPr>
              <w:t xml:space="preserve">the </w:t>
            </w:r>
            <w:r w:rsidR="00FB39AD" w:rsidRPr="00F66630">
              <w:rPr>
                <w:rFonts w:ascii="Times New Roman" w:hAnsi="Times New Roman" w:cs="Times New Roman"/>
                <w:i/>
                <w:iCs/>
                <w:noProof/>
              </w:rPr>
              <w:t>State not achieving the DLR.</w:t>
            </w:r>
          </w:p>
        </w:tc>
      </w:tr>
      <w:tr w:rsidR="0095291E" w:rsidRPr="00F66630" w14:paraId="666BB5AE" w14:textId="77777777" w:rsidTr="004627E0">
        <w:tc>
          <w:tcPr>
            <w:tcW w:w="5000" w:type="pct"/>
            <w:gridSpan w:val="2"/>
            <w:shd w:val="clear" w:color="auto" w:fill="FDE9D9" w:themeFill="accent6" w:themeFillTint="33"/>
          </w:tcPr>
          <w:p w14:paraId="0CBDBF97"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 xml:space="preserve">Data Source and Procedures to assess achievement </w:t>
            </w:r>
          </w:p>
        </w:tc>
      </w:tr>
      <w:tr w:rsidR="0095291E" w:rsidRPr="00F66630" w14:paraId="1055ABFA" w14:textId="77777777" w:rsidTr="004627E0">
        <w:tc>
          <w:tcPr>
            <w:tcW w:w="5000" w:type="pct"/>
            <w:gridSpan w:val="2"/>
          </w:tcPr>
          <w:p w14:paraId="4D25CC65"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3E1F2605"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 </w:t>
            </w:r>
          </w:p>
          <w:p w14:paraId="4C0253CD" w14:textId="608B11F9" w:rsidR="00423C81" w:rsidRPr="00F66630" w:rsidRDefault="0095291E" w:rsidP="005B1B29">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such as SBIR, the PPA, the State House of Assembly, the Office of the Auditor-General for States.</w:t>
            </w:r>
          </w:p>
        </w:tc>
      </w:tr>
      <w:tr w:rsidR="0095291E" w:rsidRPr="00F66630" w14:paraId="6C41D4A7" w14:textId="77777777" w:rsidTr="004627E0">
        <w:tc>
          <w:tcPr>
            <w:tcW w:w="5000" w:type="pct"/>
            <w:gridSpan w:val="2"/>
          </w:tcPr>
          <w:p w14:paraId="41B35AC1" w14:textId="77777777"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18AD7C27" w14:textId="77777777" w:rsidR="0095291E" w:rsidRPr="00F66630" w:rsidRDefault="0095291E"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t>Download the Audited Financial Statement (AFS) from the State government’s website.</w:t>
            </w:r>
          </w:p>
          <w:p w14:paraId="52809612" w14:textId="77777777" w:rsidR="0095291E" w:rsidRPr="00F66630" w:rsidRDefault="0095291E"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t>Confirm the dates of posting to the website and evidence of posting on the stated dates. Confirmation will be through a timestamp showing the date of publication (or through evidence obtained from the State IT Service provider).</w:t>
            </w:r>
          </w:p>
          <w:p w14:paraId="2A0A0955" w14:textId="77777777" w:rsidR="0095291E" w:rsidRPr="00F66630" w:rsidRDefault="0095291E"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t>Confirm that the AFS cover financial and compliance audit.</w:t>
            </w:r>
          </w:p>
          <w:p w14:paraId="5E14BEB8" w14:textId="77777777" w:rsidR="0095291E" w:rsidRPr="00F66630" w:rsidRDefault="0095291E"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t>Confirm submission of the AFS to the Governor &amp; State House of Assembly.</w:t>
            </w:r>
          </w:p>
          <w:p w14:paraId="46FD6FE0" w14:textId="77777777" w:rsidR="0095291E" w:rsidRPr="00F66630" w:rsidRDefault="0095291E"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p>
          <w:p w14:paraId="5CE58590" w14:textId="25453373" w:rsidR="00752F42" w:rsidRPr="00F66630" w:rsidRDefault="00752F42" w:rsidP="00D20318">
            <w:pPr>
              <w:pStyle w:val="ListParagraph"/>
              <w:numPr>
                <w:ilvl w:val="0"/>
                <w:numId w:val="64"/>
              </w:numPr>
              <w:spacing w:after="120"/>
              <w:rPr>
                <w:rFonts w:ascii="Times New Roman" w:hAnsi="Times New Roman" w:cs="Times New Roman"/>
              </w:rPr>
            </w:pPr>
            <w:r w:rsidRPr="00F66630">
              <w:rPr>
                <w:rFonts w:ascii="Times New Roman" w:hAnsi="Times New Roman" w:cs="Times New Roman"/>
              </w:rPr>
              <w:lastRenderedPageBreak/>
              <w:t xml:space="preserve">Obtain from the PCU/FMOF Home Finance - Details of all FAAC Allocations / Statutory Transfers to the SLJAAC for 2018 and 2019.                                                                                           </w:t>
            </w:r>
          </w:p>
        </w:tc>
      </w:tr>
      <w:tr w:rsidR="0095291E" w:rsidRPr="00F66630" w14:paraId="0312E007" w14:textId="77777777" w:rsidTr="004627E0">
        <w:trPr>
          <w:trHeight w:val="470"/>
        </w:trPr>
        <w:tc>
          <w:tcPr>
            <w:tcW w:w="1371" w:type="pct"/>
            <w:shd w:val="clear" w:color="auto" w:fill="FDE9D9" w:themeFill="accent6" w:themeFillTint="33"/>
          </w:tcPr>
          <w:p w14:paraId="125AF9C1"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629" w:type="pct"/>
            <w:shd w:val="clear" w:color="auto" w:fill="FDE9D9" w:themeFill="accent6" w:themeFillTint="33"/>
          </w:tcPr>
          <w:p w14:paraId="472C21A0"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692ECA70" w14:textId="77777777" w:rsidTr="004627E0">
        <w:tc>
          <w:tcPr>
            <w:tcW w:w="1371" w:type="pct"/>
          </w:tcPr>
          <w:p w14:paraId="06292B69" w14:textId="0C092170" w:rsidR="0095291E" w:rsidRPr="00F66630" w:rsidRDefault="000907DC" w:rsidP="004627E0">
            <w:pPr>
              <w:pStyle w:val="BodyText"/>
              <w:rPr>
                <w:rFonts w:ascii="Times New Roman" w:hAnsi="Times New Roman" w:cs="Times New Roman"/>
                <w:b/>
                <w:bCs/>
              </w:rPr>
            </w:pPr>
            <w:r w:rsidRPr="00F66630">
              <w:rPr>
                <w:rFonts w:ascii="Times New Roman" w:hAnsi="Times New Roman" w:cs="Times New Roman"/>
                <w:b/>
                <w:bCs/>
              </w:rPr>
              <w:t xml:space="preserve">10.1 (2021) </w:t>
            </w:r>
            <w:r w:rsidR="0095291E" w:rsidRPr="00F66630">
              <w:rPr>
                <w:rFonts w:ascii="Times New Roman" w:hAnsi="Times New Roman" w:cs="Times New Roman"/>
              </w:rPr>
              <w:t>No later than September 30, 2021, the audited financial statements of all local governments (LGs) in the Participating State for FY 2020, including all allocations and actual receipts of state-local government joint account allocation committee (SLJAAC) transfers for each LG in the Participating State, have been published on a State official website.</w:t>
            </w:r>
          </w:p>
        </w:tc>
        <w:tc>
          <w:tcPr>
            <w:tcW w:w="3629" w:type="pct"/>
          </w:tcPr>
          <w:p w14:paraId="74731DD5" w14:textId="55547D82"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To achieve this DL</w:t>
            </w:r>
            <w:r w:rsidR="003C26F9" w:rsidRPr="00F66630">
              <w:rPr>
                <w:rFonts w:ascii="Times New Roman" w:hAnsi="Times New Roman" w:cs="Times New Roman"/>
                <w:noProof/>
              </w:rPr>
              <w:t>R</w:t>
            </w:r>
            <w:r w:rsidRPr="00F66630">
              <w:rPr>
                <w:rFonts w:ascii="Times New Roman" w:hAnsi="Times New Roman" w:cs="Times New Roman"/>
                <w:noProof/>
              </w:rPr>
              <w:t>, ALL the following need to be achieved:</w:t>
            </w:r>
          </w:p>
          <w:p w14:paraId="7F4C582C" w14:textId="51422176"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Published online on an official State website by September 30, 2021:</w:t>
            </w:r>
          </w:p>
          <w:p w14:paraId="215FEF95" w14:textId="1FD9ED74"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 xml:space="preserve">The </w:t>
            </w:r>
            <w:r w:rsidR="004248EB" w:rsidRPr="00F66630">
              <w:rPr>
                <w:rFonts w:ascii="Times New Roman" w:hAnsi="Times New Roman" w:cs="Times New Roman"/>
                <w:noProof/>
              </w:rPr>
              <w:t>Audited Financial Statements</w:t>
            </w:r>
            <w:r w:rsidRPr="00F66630">
              <w:rPr>
                <w:rFonts w:ascii="Times New Roman" w:hAnsi="Times New Roman" w:cs="Times New Roman"/>
                <w:noProof/>
              </w:rPr>
              <w:t>* of all local government authorities** within the State for fiscal year 2020***, which includes showing all allocations and actual receipts of state-local government joint account allocation committee (SLJAAC) transfers for each local government authority in the State.</w:t>
            </w:r>
          </w:p>
          <w:p w14:paraId="7876E7CA" w14:textId="77777777" w:rsidR="0095291E" w:rsidRPr="00F66630" w:rsidRDefault="0095291E" w:rsidP="002911D3">
            <w:pPr>
              <w:rPr>
                <w:rFonts w:ascii="Times New Roman" w:hAnsi="Times New Roman" w:cs="Times New Roman"/>
                <w:noProof/>
              </w:rPr>
            </w:pPr>
          </w:p>
          <w:p w14:paraId="04A72739" w14:textId="5C5208ED"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 xml:space="preserve">*The State Auditor-General for Local Government to conduct </w:t>
            </w:r>
            <w:r w:rsidR="001D0F86" w:rsidRPr="00F66630">
              <w:rPr>
                <w:rFonts w:ascii="Times New Roman" w:hAnsi="Times New Roman" w:cs="Times New Roman"/>
                <w:noProof/>
              </w:rPr>
              <w:t xml:space="preserve">financial and compliance audit </w:t>
            </w:r>
            <w:r w:rsidRPr="00F66630">
              <w:rPr>
                <w:rFonts w:ascii="Times New Roman" w:hAnsi="Times New Roman" w:cs="Times New Roman"/>
                <w:noProof/>
              </w:rPr>
              <w:t>and issue a report to the Governor &amp; State House of Assembly.</w:t>
            </w:r>
            <w:r w:rsidR="000304B0" w:rsidRPr="00F66630">
              <w:rPr>
                <w:rFonts w:ascii="Times New Roman" w:hAnsi="Times New Roman" w:cs="Times New Roman"/>
                <w:noProof/>
              </w:rPr>
              <w:t xml:space="preserve"> For the publication of the LGA AFS, these should be accompanied by an audit opinion and a management letter. Where no management letter is issued, this should be noted by the IVA.</w:t>
            </w:r>
          </w:p>
          <w:p w14:paraId="1B986C7B" w14:textId="77777777" w:rsidR="0095291E" w:rsidRPr="00F66630" w:rsidRDefault="0095291E" w:rsidP="002911D3">
            <w:pPr>
              <w:rPr>
                <w:rFonts w:ascii="Times New Roman" w:hAnsi="Times New Roman" w:cs="Times New Roman"/>
                <w:noProof/>
              </w:rPr>
            </w:pPr>
            <w:r w:rsidRPr="00F66630">
              <w:rPr>
                <w:rFonts w:ascii="Times New Roman" w:hAnsi="Times New Roman" w:cs="Times New Roman"/>
                <w:noProof/>
              </w:rPr>
              <w:t>**To show distinctly and separately, the financial position  of every individual LGA in the State</w:t>
            </w:r>
          </w:p>
          <w:p w14:paraId="399D4D9E" w14:textId="204593BA" w:rsidR="005B1B29" w:rsidRPr="00F66630" w:rsidRDefault="0095291E" w:rsidP="005B1B29">
            <w:pPr>
              <w:rPr>
                <w:rFonts w:ascii="Times New Roman" w:hAnsi="Times New Roman" w:cs="Times New Roman"/>
                <w:i/>
                <w:iCs/>
                <w:noProof/>
              </w:rPr>
            </w:pPr>
            <w:r w:rsidRPr="00F66630">
              <w:rPr>
                <w:rFonts w:ascii="Times New Roman" w:hAnsi="Times New Roman" w:cs="Times New Roman"/>
                <w:noProof/>
              </w:rPr>
              <w:t>***The 2020 Audit Report should explicitly comment on the completeness of the LGA finances included in the financial statements with regard to SLJAAC allocations received</w:t>
            </w:r>
            <w:r w:rsidR="005B1B29" w:rsidRPr="00F66630">
              <w:rPr>
                <w:rFonts w:ascii="Times New Roman" w:hAnsi="Times New Roman" w:cs="Times New Roman"/>
                <w:i/>
                <w:iCs/>
                <w:noProof/>
              </w:rPr>
              <w:t xml:space="preserve"> Note that if the IVA is able to conclude that the SLJAAC allocations and actual receipt information in the financial statements are complete, the lack of an explicit comment in the report will not by itself lead to the State not achieving the DLR.</w:t>
            </w:r>
          </w:p>
          <w:p w14:paraId="23F5582F" w14:textId="62B78302" w:rsidR="00423C81" w:rsidRPr="00F66630" w:rsidRDefault="00423C81" w:rsidP="002911D3">
            <w:pPr>
              <w:rPr>
                <w:rFonts w:ascii="Times New Roman" w:hAnsi="Times New Roman" w:cs="Times New Roman"/>
                <w:noProof/>
              </w:rPr>
            </w:pPr>
          </w:p>
          <w:p w14:paraId="5F5208F7" w14:textId="7A943D01" w:rsidR="00423C81" w:rsidRPr="00F66630" w:rsidRDefault="00423C81" w:rsidP="002911D3">
            <w:pPr>
              <w:rPr>
                <w:rFonts w:ascii="Times New Roman" w:hAnsi="Times New Roman" w:cs="Times New Roman"/>
                <w:noProof/>
              </w:rPr>
            </w:pPr>
          </w:p>
        </w:tc>
      </w:tr>
      <w:tr w:rsidR="0095291E" w:rsidRPr="00F66630" w14:paraId="35395967" w14:textId="77777777" w:rsidTr="004627E0">
        <w:tc>
          <w:tcPr>
            <w:tcW w:w="5000" w:type="pct"/>
            <w:gridSpan w:val="2"/>
            <w:shd w:val="clear" w:color="auto" w:fill="FDE9D9" w:themeFill="accent6" w:themeFillTint="33"/>
          </w:tcPr>
          <w:p w14:paraId="43191B4E"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 xml:space="preserve">Data Source and Procedures to assess achievement </w:t>
            </w:r>
          </w:p>
        </w:tc>
      </w:tr>
      <w:tr w:rsidR="0095291E" w:rsidRPr="00F66630" w14:paraId="2F09BD8B" w14:textId="77777777" w:rsidTr="004627E0">
        <w:tc>
          <w:tcPr>
            <w:tcW w:w="5000" w:type="pct"/>
            <w:gridSpan w:val="2"/>
          </w:tcPr>
          <w:p w14:paraId="742784A1"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2B1807E1"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 </w:t>
            </w:r>
          </w:p>
          <w:p w14:paraId="6D76A291" w14:textId="77777777" w:rsidR="007F4AC3"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such as SBIR, the PPA, the State House of Assembly, the Office of the Auditor-General for States.</w:t>
            </w:r>
          </w:p>
          <w:p w14:paraId="53F31216" w14:textId="75D7A8E0" w:rsidR="00423C81" w:rsidRPr="00F66630" w:rsidRDefault="00423C81" w:rsidP="00423C81">
            <w:pPr>
              <w:pStyle w:val="CommentText"/>
              <w:ind w:left="360"/>
              <w:rPr>
                <w:rFonts w:ascii="Times New Roman" w:hAnsi="Times New Roman" w:cs="Times New Roman"/>
                <w:sz w:val="22"/>
                <w:szCs w:val="22"/>
              </w:rPr>
            </w:pPr>
          </w:p>
        </w:tc>
      </w:tr>
      <w:tr w:rsidR="0095291E" w:rsidRPr="00F66630" w14:paraId="62B2F1CE" w14:textId="77777777" w:rsidTr="004627E0">
        <w:tc>
          <w:tcPr>
            <w:tcW w:w="5000" w:type="pct"/>
            <w:gridSpan w:val="2"/>
          </w:tcPr>
          <w:p w14:paraId="23B95863" w14:textId="77777777"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18808E1B" w14:textId="77777777" w:rsidR="0095291E" w:rsidRPr="00F66630" w:rsidRDefault="0095291E" w:rsidP="00D20318">
            <w:pPr>
              <w:pStyle w:val="ListParagraph"/>
              <w:numPr>
                <w:ilvl w:val="0"/>
                <w:numId w:val="79"/>
              </w:numPr>
              <w:spacing w:after="120"/>
              <w:rPr>
                <w:rFonts w:ascii="Times New Roman" w:hAnsi="Times New Roman" w:cs="Times New Roman"/>
              </w:rPr>
            </w:pPr>
            <w:r w:rsidRPr="00F66630">
              <w:rPr>
                <w:rFonts w:ascii="Times New Roman" w:hAnsi="Times New Roman" w:cs="Times New Roman"/>
              </w:rPr>
              <w:t>Download the Audited Financial Statement (AFS) from the State government’s website.</w:t>
            </w:r>
          </w:p>
          <w:p w14:paraId="16D867DF" w14:textId="77777777" w:rsidR="0095291E" w:rsidRPr="00F66630" w:rsidRDefault="0095291E" w:rsidP="00D20318">
            <w:pPr>
              <w:pStyle w:val="ListParagraph"/>
              <w:numPr>
                <w:ilvl w:val="0"/>
                <w:numId w:val="79"/>
              </w:numPr>
              <w:spacing w:after="120"/>
              <w:rPr>
                <w:rFonts w:ascii="Times New Roman" w:hAnsi="Times New Roman" w:cs="Times New Roman"/>
              </w:rPr>
            </w:pPr>
            <w:r w:rsidRPr="00F66630">
              <w:rPr>
                <w:rFonts w:ascii="Times New Roman" w:hAnsi="Times New Roman" w:cs="Times New Roman"/>
              </w:rPr>
              <w:t>Confirm the dates of posting to the website and evidence of posting on the stated dates. Confirmation will be through a timestamp showing the date of publication (or through evidence obtained from the State IT Service provider).</w:t>
            </w:r>
          </w:p>
          <w:p w14:paraId="0715831F" w14:textId="77777777" w:rsidR="0095291E" w:rsidRPr="00F66630" w:rsidRDefault="0095291E" w:rsidP="00D20318">
            <w:pPr>
              <w:pStyle w:val="ListParagraph"/>
              <w:numPr>
                <w:ilvl w:val="0"/>
                <w:numId w:val="79"/>
              </w:numPr>
              <w:spacing w:after="120"/>
              <w:rPr>
                <w:rFonts w:ascii="Times New Roman" w:hAnsi="Times New Roman" w:cs="Times New Roman"/>
              </w:rPr>
            </w:pPr>
            <w:r w:rsidRPr="00F66630">
              <w:rPr>
                <w:rFonts w:ascii="Times New Roman" w:hAnsi="Times New Roman" w:cs="Times New Roman"/>
              </w:rPr>
              <w:t>Confirm that the AFS cover financial and compliance audit.</w:t>
            </w:r>
          </w:p>
          <w:p w14:paraId="5F53FD13" w14:textId="77777777" w:rsidR="0095291E" w:rsidRPr="00F66630" w:rsidRDefault="0095291E" w:rsidP="00D20318">
            <w:pPr>
              <w:pStyle w:val="ListParagraph"/>
              <w:numPr>
                <w:ilvl w:val="0"/>
                <w:numId w:val="79"/>
              </w:numPr>
              <w:spacing w:after="120"/>
              <w:rPr>
                <w:rFonts w:ascii="Times New Roman" w:hAnsi="Times New Roman" w:cs="Times New Roman"/>
              </w:rPr>
            </w:pPr>
            <w:r w:rsidRPr="00F66630">
              <w:rPr>
                <w:rFonts w:ascii="Times New Roman" w:hAnsi="Times New Roman" w:cs="Times New Roman"/>
              </w:rPr>
              <w:t>Confirm submission of the AFS to the Governor &amp; State House of Assembly.</w:t>
            </w:r>
          </w:p>
          <w:p w14:paraId="690463E3" w14:textId="77777777" w:rsidR="0095291E" w:rsidRPr="00F66630" w:rsidRDefault="0095291E" w:rsidP="00D20318">
            <w:pPr>
              <w:pStyle w:val="ListParagraph"/>
              <w:numPr>
                <w:ilvl w:val="0"/>
                <w:numId w:val="79"/>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p>
          <w:p w14:paraId="3420A050" w14:textId="1644D0A1" w:rsidR="00423C81" w:rsidRPr="00F66630" w:rsidRDefault="00423C81" w:rsidP="00423C81">
            <w:pPr>
              <w:pStyle w:val="ListParagraph"/>
              <w:spacing w:after="120"/>
              <w:ind w:left="360"/>
              <w:rPr>
                <w:rFonts w:ascii="Times New Roman" w:hAnsi="Times New Roman" w:cs="Times New Roman"/>
              </w:rPr>
            </w:pPr>
          </w:p>
        </w:tc>
      </w:tr>
    </w:tbl>
    <w:p w14:paraId="2022178A" w14:textId="77777777" w:rsidR="00423C81" w:rsidRPr="00F66630" w:rsidRDefault="00423C81">
      <w:r w:rsidRPr="00F66630">
        <w:br w:type="page"/>
      </w:r>
    </w:p>
    <w:tbl>
      <w:tblPr>
        <w:tblStyle w:val="TableGrid"/>
        <w:tblW w:w="5315" w:type="pct"/>
        <w:tblLook w:val="04A0" w:firstRow="1" w:lastRow="0" w:firstColumn="1" w:lastColumn="0" w:noHBand="0" w:noVBand="1"/>
      </w:tblPr>
      <w:tblGrid>
        <w:gridCol w:w="2966"/>
        <w:gridCol w:w="809"/>
        <w:gridCol w:w="630"/>
        <w:gridCol w:w="9361"/>
      </w:tblGrid>
      <w:tr w:rsidR="0095291E" w:rsidRPr="00F66630" w14:paraId="1D8ED72F" w14:textId="77777777" w:rsidTr="004627E0">
        <w:trPr>
          <w:trHeight w:val="206"/>
        </w:trPr>
        <w:tc>
          <w:tcPr>
            <w:tcW w:w="5000" w:type="pct"/>
            <w:gridSpan w:val="4"/>
            <w:shd w:val="clear" w:color="auto" w:fill="EAF1DD" w:themeFill="accent3" w:themeFillTint="33"/>
          </w:tcPr>
          <w:p w14:paraId="1D2BAF1A" w14:textId="3533D293" w:rsidR="00146B72" w:rsidRPr="00F66630" w:rsidRDefault="00146B72" w:rsidP="002159E0">
            <w:pPr>
              <w:rPr>
                <w:rFonts w:cs="Times New Roman"/>
                <w:bCs/>
              </w:rPr>
            </w:pPr>
            <w:r w:rsidRPr="00F66630">
              <w:rPr>
                <w:rFonts w:ascii="Times New Roman" w:hAnsi="Times New Roman"/>
                <w:b/>
                <w:bCs/>
              </w:rPr>
              <w:lastRenderedPageBreak/>
              <w:t>DLI 10. Enhanced transparency and accountability of funds in the COVID-19 response and resilient recovery phases</w:t>
            </w:r>
          </w:p>
          <w:p w14:paraId="2D61D756" w14:textId="2829D3B5" w:rsidR="0095291E" w:rsidRPr="00F66630" w:rsidRDefault="00146B72" w:rsidP="002159E0">
            <w:pPr>
              <w:pStyle w:val="Heading3"/>
              <w:numPr>
                <w:ilvl w:val="0"/>
                <w:numId w:val="0"/>
              </w:numPr>
              <w:outlineLvl w:val="2"/>
              <w:rPr>
                <w:rFonts w:cs="Times New Roman"/>
                <w:bCs w:val="0"/>
                <w:i/>
                <w:iCs/>
                <w:sz w:val="22"/>
                <w:szCs w:val="22"/>
              </w:rPr>
            </w:pPr>
            <w:bookmarkStart w:id="38" w:name="_Toc107345859"/>
            <w:r w:rsidRPr="00F66630">
              <w:rPr>
                <w:rFonts w:cs="Times New Roman"/>
                <w:bCs w:val="0"/>
                <w:i/>
                <w:iCs/>
                <w:sz w:val="22"/>
                <w:szCs w:val="22"/>
              </w:rPr>
              <w:t>DL</w:t>
            </w:r>
            <w:r w:rsidR="00E51DBF" w:rsidRPr="00F66630">
              <w:rPr>
                <w:rFonts w:cs="Times New Roman"/>
                <w:bCs w:val="0"/>
                <w:i/>
                <w:iCs/>
                <w:sz w:val="22"/>
                <w:szCs w:val="22"/>
              </w:rPr>
              <w:t>R</w:t>
            </w:r>
            <w:r w:rsidRPr="00F66630">
              <w:rPr>
                <w:rFonts w:cs="Times New Roman"/>
                <w:bCs w:val="0"/>
                <w:i/>
                <w:iCs/>
                <w:sz w:val="22"/>
                <w:szCs w:val="22"/>
              </w:rPr>
              <w:t xml:space="preserve"> 10.2</w:t>
            </w:r>
            <w:r w:rsidR="0095291E" w:rsidRPr="00F66630">
              <w:rPr>
                <w:rFonts w:cs="Times New Roman"/>
                <w:bCs w:val="0"/>
                <w:i/>
                <w:iCs/>
                <w:sz w:val="22"/>
                <w:szCs w:val="22"/>
              </w:rPr>
              <w:t>: Strengthened transparency and accountability by publishing COVID-19 response and recovery expenditures and audit reports</w:t>
            </w:r>
            <w:bookmarkEnd w:id="38"/>
          </w:p>
        </w:tc>
      </w:tr>
      <w:tr w:rsidR="0095291E" w:rsidRPr="00F66630" w14:paraId="70831993" w14:textId="77777777" w:rsidTr="004627E0">
        <w:trPr>
          <w:trHeight w:val="470"/>
        </w:trPr>
        <w:tc>
          <w:tcPr>
            <w:tcW w:w="1371" w:type="pct"/>
            <w:gridSpan w:val="2"/>
            <w:shd w:val="clear" w:color="auto" w:fill="FDE9D9" w:themeFill="accent6" w:themeFillTint="33"/>
          </w:tcPr>
          <w:p w14:paraId="0BE1F0DB"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DLR description as per DLI Matrix</w:t>
            </w:r>
          </w:p>
        </w:tc>
        <w:tc>
          <w:tcPr>
            <w:tcW w:w="3629" w:type="pct"/>
            <w:gridSpan w:val="2"/>
            <w:shd w:val="clear" w:color="auto" w:fill="FDE9D9" w:themeFill="accent6" w:themeFillTint="33"/>
          </w:tcPr>
          <w:p w14:paraId="75E1BFAC"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59E0F000" w14:textId="77777777" w:rsidTr="004627E0">
        <w:tc>
          <w:tcPr>
            <w:tcW w:w="1371" w:type="pct"/>
            <w:gridSpan w:val="2"/>
          </w:tcPr>
          <w:p w14:paraId="70791269" w14:textId="5E8D4F65" w:rsidR="0095291E" w:rsidRPr="00F66630" w:rsidRDefault="00E91F57" w:rsidP="004627E0">
            <w:pPr>
              <w:pStyle w:val="BodyText"/>
              <w:rPr>
                <w:rFonts w:ascii="Times New Roman" w:hAnsi="Times New Roman" w:cs="Times New Roman"/>
                <w:b/>
                <w:bCs/>
              </w:rPr>
            </w:pPr>
            <w:r w:rsidRPr="00F66630">
              <w:rPr>
                <w:rFonts w:ascii="Times New Roman" w:hAnsi="Times New Roman" w:cs="Times New Roman"/>
                <w:b/>
                <w:bCs/>
              </w:rPr>
              <w:t xml:space="preserve">10.2 </w:t>
            </w:r>
            <w:r w:rsidR="0095291E" w:rsidRPr="00F66630">
              <w:rPr>
                <w:rFonts w:ascii="Times New Roman" w:hAnsi="Times New Roman" w:cs="Times New Roman"/>
                <w:b/>
                <w:bCs/>
              </w:rPr>
              <w:t xml:space="preserve">The Participating State has published: </w:t>
            </w:r>
          </w:p>
          <w:p w14:paraId="6FC449A4" w14:textId="35AD1A70" w:rsidR="0095291E" w:rsidRPr="00F66630" w:rsidRDefault="0095291E" w:rsidP="004627E0">
            <w:pPr>
              <w:pStyle w:val="BodyText"/>
              <w:rPr>
                <w:rFonts w:ascii="Times New Roman" w:hAnsi="Times New Roman" w:cs="Times New Roman"/>
              </w:rPr>
            </w:pPr>
            <w:r w:rsidRPr="00F66630">
              <w:rPr>
                <w:rFonts w:ascii="Times New Roman" w:hAnsi="Times New Roman" w:cs="Times New Roman"/>
              </w:rPr>
              <w:t xml:space="preserve">(a) on a monthly basis within one month after the end of each month for five consecutive months starting August 2020 </w:t>
            </w:r>
            <w:r w:rsidRPr="00F66630">
              <w:rPr>
                <w:rFonts w:ascii="Times New Roman" w:hAnsi="Times New Roman" w:cs="Times New Roman"/>
                <w:i/>
                <w:iCs/>
              </w:rPr>
              <w:t>[</w:t>
            </w:r>
            <w:proofErr w:type="gramStart"/>
            <w:r w:rsidRPr="00F66630">
              <w:rPr>
                <w:rFonts w:ascii="Times New Roman" w:hAnsi="Times New Roman" w:cs="Times New Roman"/>
                <w:i/>
                <w:iCs/>
              </w:rPr>
              <w:t>i.e.</w:t>
            </w:r>
            <w:proofErr w:type="gramEnd"/>
            <w:r w:rsidRPr="00F66630">
              <w:rPr>
                <w:rFonts w:ascii="Times New Roman" w:hAnsi="Times New Roman" w:cs="Times New Roman"/>
                <w:i/>
                <w:iCs/>
              </w:rPr>
              <w:t xml:space="preserve"> August to December 2020]</w:t>
            </w:r>
            <w:r w:rsidRPr="00F66630">
              <w:rPr>
                <w:rFonts w:ascii="Times New Roman" w:hAnsi="Times New Roman" w:cs="Times New Roman"/>
              </w:rPr>
              <w:t>, budget execution reports on budget allocations and actual expenditures incurred for COVID-19 response and recovery programs using National Chart of Accounts (NCOA) on the Open Treasury Portal;</w:t>
            </w:r>
          </w:p>
          <w:p w14:paraId="584A1063" w14:textId="77777777" w:rsidR="0095291E" w:rsidRPr="00F66630" w:rsidRDefault="0095291E" w:rsidP="004627E0">
            <w:pPr>
              <w:pStyle w:val="BodyText"/>
              <w:rPr>
                <w:rFonts w:ascii="Times New Roman" w:hAnsi="Times New Roman" w:cs="Times New Roman"/>
              </w:rPr>
            </w:pPr>
            <w:r w:rsidRPr="00F66630">
              <w:rPr>
                <w:rFonts w:ascii="Times New Roman" w:hAnsi="Times New Roman" w:cs="Times New Roman"/>
              </w:rPr>
              <w:t xml:space="preserve">AND </w:t>
            </w:r>
          </w:p>
          <w:p w14:paraId="2C6390E4" w14:textId="77777777" w:rsidR="0095291E" w:rsidRPr="00F66630" w:rsidRDefault="0095291E" w:rsidP="004627E0">
            <w:pPr>
              <w:pStyle w:val="BodyText"/>
              <w:contextualSpacing/>
              <w:rPr>
                <w:rFonts w:ascii="Times New Roman" w:hAnsi="Times New Roman" w:cs="Times New Roman"/>
              </w:rPr>
            </w:pPr>
            <w:r w:rsidRPr="00F66630">
              <w:rPr>
                <w:rFonts w:ascii="Times New Roman" w:hAnsi="Times New Roman" w:cs="Times New Roman"/>
              </w:rPr>
              <w:t xml:space="preserve">(b) on a quarterly basis within two months of the end of each quarter for three consecutive quarters, starting from the third quarter of FY 2020 </w:t>
            </w:r>
            <w:r w:rsidRPr="00F66630">
              <w:rPr>
                <w:rFonts w:ascii="Times New Roman" w:hAnsi="Times New Roman" w:cs="Times New Roman"/>
                <w:i/>
                <w:iCs/>
              </w:rPr>
              <w:t>[</w:t>
            </w:r>
            <w:proofErr w:type="gramStart"/>
            <w:r w:rsidRPr="00F66630">
              <w:rPr>
                <w:rFonts w:ascii="Times New Roman" w:hAnsi="Times New Roman" w:cs="Times New Roman"/>
                <w:i/>
                <w:iCs/>
              </w:rPr>
              <w:t>i.e.</w:t>
            </w:r>
            <w:proofErr w:type="gramEnd"/>
            <w:r w:rsidRPr="00F66630">
              <w:rPr>
                <w:rFonts w:ascii="Times New Roman" w:hAnsi="Times New Roman" w:cs="Times New Roman"/>
                <w:i/>
                <w:iCs/>
              </w:rPr>
              <w:t xml:space="preserve"> Q3 2020, Q4 2020 and Q1 2021]</w:t>
            </w:r>
            <w:r w:rsidRPr="00F66630">
              <w:rPr>
                <w:rFonts w:ascii="Times New Roman" w:hAnsi="Times New Roman" w:cs="Times New Roman"/>
              </w:rPr>
              <w:t xml:space="preserve">, dedicated financial and compliance audit reports covering their COVID-19 response and recovery program expenditures. </w:t>
            </w:r>
          </w:p>
        </w:tc>
        <w:tc>
          <w:tcPr>
            <w:tcW w:w="3629" w:type="pct"/>
            <w:gridSpan w:val="2"/>
          </w:tcPr>
          <w:p w14:paraId="02BA3607" w14:textId="4CDBFD73"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To achieve this DL</w:t>
            </w:r>
            <w:r w:rsidR="003C26F9" w:rsidRPr="00F66630">
              <w:rPr>
                <w:rFonts w:ascii="Times New Roman" w:hAnsi="Times New Roman" w:cs="Times New Roman"/>
                <w:noProof/>
              </w:rPr>
              <w:t>R</w:t>
            </w:r>
            <w:r w:rsidRPr="00F66630">
              <w:rPr>
                <w:rFonts w:ascii="Times New Roman" w:hAnsi="Times New Roman" w:cs="Times New Roman"/>
                <w:noProof/>
              </w:rPr>
              <w:t>, ALL the following need to be achieved:</w:t>
            </w:r>
          </w:p>
          <w:p w14:paraId="3CB74AB0" w14:textId="131E046E"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1. Monthly budget execution reports* on budget allocation and actual expenditures incurred for COVID-19 response and recovery published on the national government’s open treasury portal</w:t>
            </w:r>
            <w:r w:rsidR="009E6778" w:rsidRPr="00F66630">
              <w:rPr>
                <w:rFonts w:ascii="Times New Roman" w:hAnsi="Times New Roman" w:cs="Times New Roman"/>
                <w:noProof/>
              </w:rPr>
              <w:t>**</w:t>
            </w:r>
            <w:r w:rsidRPr="00F66630">
              <w:rPr>
                <w:rFonts w:ascii="Times New Roman" w:hAnsi="Times New Roman" w:cs="Times New Roman"/>
                <w:noProof/>
              </w:rPr>
              <w:t xml:space="preserve"> using National Chart of Accounts (NCOA) within one month after the end of each month for August to December 2020 (five (5) reports).</w:t>
            </w:r>
          </w:p>
          <w:p w14:paraId="5EB918DB" w14:textId="77777777" w:rsidR="0095291E" w:rsidRPr="00F66630" w:rsidRDefault="0095291E" w:rsidP="004627E0">
            <w:pPr>
              <w:spacing w:line="256" w:lineRule="auto"/>
              <w:rPr>
                <w:rFonts w:ascii="Times New Roman" w:hAnsi="Times New Roman" w:cs="Times New Roman"/>
                <w:noProof/>
              </w:rPr>
            </w:pPr>
          </w:p>
          <w:p w14:paraId="7DFB6F02"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 Requirements of the monthly budget execution report specific for COVID-19 response and recovery</w:t>
            </w:r>
          </w:p>
          <w:p w14:paraId="31DE9DAF"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i) Should include all items tagged as COVID-19 responsive based on the state’s amended 2020 budget under New DLI 1</w:t>
            </w:r>
          </w:p>
          <w:p w14:paraId="44540316"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ii) If not already captured in the budget, the COVID-19 budget execution report should include the following for the crisis response as extra-budgetary items:</w:t>
            </w:r>
          </w:p>
          <w:p w14:paraId="66074BE4" w14:textId="77777777" w:rsidR="0095291E" w:rsidRPr="00F66630" w:rsidRDefault="0095291E" w:rsidP="00D20318">
            <w:pPr>
              <w:widowControl w:val="0"/>
              <w:numPr>
                <w:ilvl w:val="0"/>
                <w:numId w:val="68"/>
              </w:numPr>
              <w:autoSpaceDE w:val="0"/>
              <w:autoSpaceDN w:val="0"/>
              <w:adjustRightInd w:val="0"/>
              <w:rPr>
                <w:rFonts w:ascii="Times New Roman" w:hAnsi="Times New Roman" w:cs="Times New Roman"/>
                <w:noProof/>
              </w:rPr>
            </w:pPr>
            <w:r w:rsidRPr="00F66630">
              <w:rPr>
                <w:rFonts w:ascii="Times New Roman" w:hAnsi="Times New Roman" w:cs="Times New Roman"/>
                <w:noProof/>
              </w:rPr>
              <w:t>Transfers made from the Federal Government</w:t>
            </w:r>
          </w:p>
          <w:p w14:paraId="40F74F0E" w14:textId="77777777" w:rsidR="0095291E" w:rsidRPr="00F66630" w:rsidRDefault="0095291E" w:rsidP="00D20318">
            <w:pPr>
              <w:widowControl w:val="0"/>
              <w:numPr>
                <w:ilvl w:val="0"/>
                <w:numId w:val="68"/>
              </w:numPr>
              <w:autoSpaceDE w:val="0"/>
              <w:autoSpaceDN w:val="0"/>
              <w:adjustRightInd w:val="0"/>
              <w:rPr>
                <w:rFonts w:ascii="Times New Roman" w:hAnsi="Times New Roman" w:cs="Times New Roman"/>
                <w:noProof/>
              </w:rPr>
            </w:pPr>
            <w:r w:rsidRPr="00F66630">
              <w:rPr>
                <w:rFonts w:ascii="Times New Roman" w:hAnsi="Times New Roman" w:cs="Times New Roman"/>
                <w:noProof/>
              </w:rPr>
              <w:t>Support from Development Partners</w:t>
            </w:r>
          </w:p>
          <w:p w14:paraId="6AA0B522" w14:textId="77777777" w:rsidR="0095291E" w:rsidRPr="00F66630" w:rsidRDefault="0095291E" w:rsidP="00D20318">
            <w:pPr>
              <w:widowControl w:val="0"/>
              <w:numPr>
                <w:ilvl w:val="0"/>
                <w:numId w:val="68"/>
              </w:numPr>
              <w:autoSpaceDE w:val="0"/>
              <w:autoSpaceDN w:val="0"/>
              <w:adjustRightInd w:val="0"/>
              <w:rPr>
                <w:rFonts w:ascii="Times New Roman" w:hAnsi="Times New Roman" w:cs="Times New Roman"/>
                <w:noProof/>
              </w:rPr>
            </w:pPr>
            <w:r w:rsidRPr="00F66630">
              <w:rPr>
                <w:rFonts w:ascii="Times New Roman" w:hAnsi="Times New Roman" w:cs="Times New Roman"/>
                <w:noProof/>
              </w:rPr>
              <w:t>Borrowed funds</w:t>
            </w:r>
          </w:p>
          <w:p w14:paraId="3251CC84" w14:textId="77777777" w:rsidR="0095291E" w:rsidRPr="00F66630" w:rsidRDefault="0095291E" w:rsidP="00D20318">
            <w:pPr>
              <w:widowControl w:val="0"/>
              <w:numPr>
                <w:ilvl w:val="0"/>
                <w:numId w:val="68"/>
              </w:numPr>
              <w:autoSpaceDE w:val="0"/>
              <w:autoSpaceDN w:val="0"/>
              <w:adjustRightInd w:val="0"/>
              <w:rPr>
                <w:rFonts w:ascii="Times New Roman" w:hAnsi="Times New Roman" w:cs="Times New Roman"/>
                <w:noProof/>
              </w:rPr>
            </w:pPr>
            <w:r w:rsidRPr="00F66630">
              <w:rPr>
                <w:rFonts w:ascii="Times New Roman" w:hAnsi="Times New Roman" w:cs="Times New Roman"/>
                <w:noProof/>
              </w:rPr>
              <w:t>Donations</w:t>
            </w:r>
          </w:p>
          <w:p w14:paraId="071FC4C4" w14:textId="26998AAB"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 xml:space="preserve">iii) The COVID-19 budget execution report </w:t>
            </w:r>
            <w:r w:rsidR="009E6778" w:rsidRPr="00F66630">
              <w:rPr>
                <w:rFonts w:ascii="Times New Roman" w:hAnsi="Times New Roman" w:cs="Times New Roman"/>
                <w:noProof/>
              </w:rPr>
              <w:t>uses the</w:t>
            </w:r>
            <w:r w:rsidRPr="00F66630">
              <w:rPr>
                <w:rFonts w:ascii="Times New Roman" w:hAnsi="Times New Roman" w:cs="Times New Roman"/>
                <w:noProof/>
              </w:rPr>
              <w:t xml:space="preserve"> NCOA </w:t>
            </w:r>
            <w:r w:rsidR="009E6778" w:rsidRPr="00F66630">
              <w:rPr>
                <w:rFonts w:ascii="Times New Roman" w:hAnsi="Times New Roman" w:cs="Times New Roman"/>
                <w:noProof/>
              </w:rPr>
              <w:t>meaning that the reports</w:t>
            </w:r>
            <w:r w:rsidRPr="00F66630">
              <w:rPr>
                <w:rFonts w:ascii="Times New Roman" w:hAnsi="Times New Roman" w:cs="Times New Roman"/>
                <w:noProof/>
              </w:rPr>
              <w:t xml:space="preserve"> include, at a minimum, the original and amended approved budget appropriation, actual expenditures incurred in the month and cumulative during the year. </w:t>
            </w:r>
            <w:r w:rsidR="00027C7E" w:rsidRPr="00F66630">
              <w:rPr>
                <w:rFonts w:ascii="Times New Roman" w:hAnsi="Times New Roman" w:cs="Times New Roman"/>
                <w:noProof/>
              </w:rPr>
              <w:t>And t</w:t>
            </w:r>
            <w:r w:rsidRPr="00F66630">
              <w:rPr>
                <w:rFonts w:ascii="Times New Roman" w:hAnsi="Times New Roman" w:cs="Times New Roman"/>
                <w:noProof/>
              </w:rPr>
              <w:t>he reports should be provided under functional, administrative and economic classifications including information for each organizational unit (MDAs), and for each of the core economic classifications of expenditure (Personnel, Overheads, Capital, and Other expenditures).</w:t>
            </w:r>
          </w:p>
          <w:p w14:paraId="02133327" w14:textId="0E063186" w:rsidR="00CE33D0"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w:t>
            </w:r>
          </w:p>
          <w:p w14:paraId="5C97D568" w14:textId="77777777" w:rsidR="001503C3" w:rsidRPr="00F66630" w:rsidRDefault="009E6778" w:rsidP="00261473">
            <w:pPr>
              <w:spacing w:before="60"/>
              <w:rPr>
                <w:rFonts w:ascii="Times New Roman" w:hAnsi="Times New Roman" w:cs="Times New Roman"/>
              </w:rPr>
            </w:pPr>
            <w:r w:rsidRPr="00F66630">
              <w:rPr>
                <w:rFonts w:ascii="Times New Roman" w:hAnsi="Times New Roman" w:cs="Times New Roman"/>
                <w:noProof/>
              </w:rPr>
              <w:t>**</w:t>
            </w:r>
            <w:r w:rsidR="00594EA8" w:rsidRPr="00F66630">
              <w:rPr>
                <w:rFonts w:ascii="Times New Roman" w:hAnsi="Times New Roman" w:cs="Times New Roman"/>
              </w:rPr>
              <w:t xml:space="preserve"> States </w:t>
            </w:r>
            <w:r w:rsidR="00386E6F" w:rsidRPr="00F66630">
              <w:rPr>
                <w:rFonts w:ascii="Times New Roman" w:hAnsi="Times New Roman" w:cs="Times New Roman"/>
              </w:rPr>
              <w:t xml:space="preserve">do </w:t>
            </w:r>
            <w:r w:rsidR="00594EA8" w:rsidRPr="00F66630">
              <w:rPr>
                <w:rFonts w:ascii="Times New Roman" w:hAnsi="Times New Roman" w:cs="Times New Roman"/>
              </w:rPr>
              <w:t xml:space="preserve">not upload directly to the open treasury portal. </w:t>
            </w:r>
            <w:r w:rsidR="00386E6F" w:rsidRPr="00F66630">
              <w:rPr>
                <w:rFonts w:ascii="Times New Roman" w:hAnsi="Times New Roman" w:cs="Times New Roman"/>
              </w:rPr>
              <w:t>S</w:t>
            </w:r>
            <w:r w:rsidR="00594EA8" w:rsidRPr="00F66630">
              <w:rPr>
                <w:rFonts w:ascii="Times New Roman" w:hAnsi="Times New Roman" w:cs="Times New Roman"/>
              </w:rPr>
              <w:t xml:space="preserve">tates </w:t>
            </w:r>
            <w:r w:rsidR="00386E6F" w:rsidRPr="00F66630">
              <w:rPr>
                <w:rFonts w:ascii="Times New Roman" w:hAnsi="Times New Roman" w:cs="Times New Roman"/>
              </w:rPr>
              <w:t xml:space="preserve">are to send their BERs </w:t>
            </w:r>
            <w:r w:rsidR="00594EA8" w:rsidRPr="00F66630">
              <w:rPr>
                <w:rFonts w:ascii="Times New Roman" w:hAnsi="Times New Roman" w:cs="Times New Roman"/>
              </w:rPr>
              <w:t xml:space="preserve">by email </w:t>
            </w:r>
            <w:r w:rsidR="00386E6F" w:rsidRPr="00F66630">
              <w:rPr>
                <w:rFonts w:ascii="Times New Roman" w:hAnsi="Times New Roman" w:cs="Times New Roman"/>
              </w:rPr>
              <w:t xml:space="preserve">to </w:t>
            </w:r>
            <w:hyperlink r:id="rId17" w:history="1">
              <w:r w:rsidR="00386E6F" w:rsidRPr="00F66630">
                <w:rPr>
                  <w:rStyle w:val="Hyperlink"/>
                  <w:rFonts w:ascii="Times New Roman" w:hAnsi="Times New Roman" w:cs="Times New Roman"/>
                </w:rPr>
                <w:t>state.opentreasury@gifmis.gov.ng</w:t>
              </w:r>
            </w:hyperlink>
            <w:r w:rsidR="00594EA8" w:rsidRPr="00F66630">
              <w:rPr>
                <w:rFonts w:ascii="Times New Roman" w:hAnsi="Times New Roman" w:cs="Times New Roman"/>
                <w:b/>
                <w:bCs/>
              </w:rPr>
              <w:t xml:space="preserve"> </w:t>
            </w:r>
            <w:r w:rsidR="00594EA8" w:rsidRPr="00F66630">
              <w:rPr>
                <w:rFonts w:ascii="Times New Roman" w:hAnsi="Times New Roman" w:cs="Times New Roman"/>
              </w:rPr>
              <w:t xml:space="preserve">the GIFMIS team at OAGF to upload </w:t>
            </w:r>
            <w:r w:rsidR="00774D34" w:rsidRPr="00F66630">
              <w:rPr>
                <w:rFonts w:ascii="Times New Roman" w:hAnsi="Times New Roman" w:cs="Times New Roman"/>
              </w:rPr>
              <w:t xml:space="preserve">on time </w:t>
            </w:r>
            <w:proofErr w:type="gramStart"/>
            <w:r w:rsidR="00774D34" w:rsidRPr="00F66630">
              <w:rPr>
                <w:rFonts w:ascii="Times New Roman" w:hAnsi="Times New Roman" w:cs="Times New Roman"/>
              </w:rPr>
              <w:t>i.e.</w:t>
            </w:r>
            <w:proofErr w:type="gramEnd"/>
            <w:r w:rsidR="00774D34" w:rsidRPr="00F66630">
              <w:rPr>
                <w:rFonts w:ascii="Times New Roman" w:hAnsi="Times New Roman" w:cs="Times New Roman"/>
              </w:rPr>
              <w:t xml:space="preserve"> </w:t>
            </w:r>
            <w:r w:rsidR="004369AD" w:rsidRPr="00F66630">
              <w:rPr>
                <w:rFonts w:ascii="Times New Roman" w:hAnsi="Times New Roman" w:cs="Times New Roman"/>
              </w:rPr>
              <w:t xml:space="preserve">within one month after the end of each month. </w:t>
            </w:r>
            <w:r w:rsidR="00594EA8" w:rsidRPr="00F66630">
              <w:rPr>
                <w:rFonts w:ascii="Times New Roman" w:hAnsi="Times New Roman" w:cs="Times New Roman"/>
                <w:i/>
                <w:iCs/>
              </w:rPr>
              <w:t xml:space="preserve">Therefore, the </w:t>
            </w:r>
            <w:r w:rsidR="0002340A" w:rsidRPr="00F66630">
              <w:rPr>
                <w:rFonts w:ascii="Times New Roman" w:hAnsi="Times New Roman" w:cs="Times New Roman"/>
                <w:i/>
                <w:iCs/>
              </w:rPr>
              <w:t>IVA</w:t>
            </w:r>
            <w:r w:rsidR="00594EA8" w:rsidRPr="00F66630">
              <w:rPr>
                <w:rFonts w:ascii="Times New Roman" w:hAnsi="Times New Roman" w:cs="Times New Roman"/>
                <w:i/>
                <w:iCs/>
              </w:rPr>
              <w:t xml:space="preserve"> will need to verify whether States submitted on time to the GIFMIS team the required reports for uploading to the open treasury portal. If the reports are not accessible on the open treasury portal, </w:t>
            </w:r>
            <w:r w:rsidR="0002340A" w:rsidRPr="00F66630">
              <w:rPr>
                <w:rFonts w:ascii="Times New Roman" w:hAnsi="Times New Roman" w:cs="Times New Roman"/>
                <w:i/>
                <w:iCs/>
              </w:rPr>
              <w:t>the IVA will</w:t>
            </w:r>
            <w:r w:rsidR="00594EA8" w:rsidRPr="00F66630">
              <w:rPr>
                <w:rFonts w:ascii="Times New Roman" w:hAnsi="Times New Roman" w:cs="Times New Roman"/>
                <w:i/>
                <w:iCs/>
              </w:rPr>
              <w:t xml:space="preserve"> ascertain whether this was due to the State not submitting the reports to GIFMIS team or an issue at the OAGF end.</w:t>
            </w:r>
            <w:r w:rsidR="00594EA8" w:rsidRPr="00F66630">
              <w:rPr>
                <w:rFonts w:ascii="Times New Roman" w:hAnsi="Times New Roman" w:cs="Times New Roman"/>
              </w:rPr>
              <w:t xml:space="preserve"> </w:t>
            </w:r>
          </w:p>
          <w:p w14:paraId="70D77AE1" w14:textId="734612CD" w:rsidR="00594EA8" w:rsidRPr="00F66630" w:rsidRDefault="001503C3" w:rsidP="00261473">
            <w:pPr>
              <w:spacing w:before="60"/>
              <w:rPr>
                <w:rFonts w:ascii="Times New Roman" w:hAnsi="Times New Roman" w:cs="Times New Roman"/>
              </w:rPr>
            </w:pPr>
            <w:r w:rsidRPr="00F66630">
              <w:rPr>
                <w:rFonts w:ascii="Times New Roman" w:hAnsi="Times New Roman" w:cs="Times New Roman"/>
              </w:rPr>
              <w:t>States may also achieve the Open Treasury Portal publication element by publishing online on a State official website their BERs within the timeframe.</w:t>
            </w:r>
          </w:p>
          <w:p w14:paraId="68CC3A63" w14:textId="200F328E"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lastRenderedPageBreak/>
              <w:t>AND</w:t>
            </w:r>
          </w:p>
          <w:p w14:paraId="7DE8E817" w14:textId="77777777" w:rsidR="0095291E" w:rsidRPr="00F66630" w:rsidRDefault="0095291E" w:rsidP="004627E0">
            <w:pPr>
              <w:spacing w:line="256" w:lineRule="auto"/>
              <w:rPr>
                <w:rFonts w:ascii="Times New Roman" w:hAnsi="Times New Roman" w:cs="Times New Roman"/>
                <w:noProof/>
              </w:rPr>
            </w:pPr>
          </w:p>
          <w:p w14:paraId="6B1CAB6C" w14:textId="1E9B9C0F"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2. Financial and compliance audit reports covering the COVID-19 response funds as captured in the budget execution reports described above to be published</w:t>
            </w:r>
            <w:r w:rsidR="00CE33D0" w:rsidRPr="00F66630">
              <w:rPr>
                <w:rFonts w:ascii="Times New Roman" w:hAnsi="Times New Roman" w:cs="Times New Roman"/>
                <w:noProof/>
              </w:rPr>
              <w:t xml:space="preserve"> online</w:t>
            </w:r>
            <w:r w:rsidRPr="00F66630">
              <w:rPr>
                <w:rFonts w:ascii="Times New Roman" w:hAnsi="Times New Roman" w:cs="Times New Roman"/>
                <w:noProof/>
              </w:rPr>
              <w:t xml:space="preserve"> within two months of the end of each quarter for three quarters: Q3 2020, Q4 2020 and Q1 2021.</w:t>
            </w:r>
          </w:p>
          <w:p w14:paraId="45E92BD2" w14:textId="77777777" w:rsidR="0095291E" w:rsidRPr="00F66630" w:rsidRDefault="0095291E" w:rsidP="004627E0">
            <w:pPr>
              <w:spacing w:line="256" w:lineRule="auto"/>
              <w:rPr>
                <w:rFonts w:ascii="Times New Roman" w:hAnsi="Times New Roman" w:cs="Times New Roman"/>
                <w:noProof/>
              </w:rPr>
            </w:pPr>
          </w:p>
          <w:p w14:paraId="2B6B9932" w14:textId="6F32ECA4"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Based on the monthly budget execution reports specific for COVID-19 response and recovery, the State Auditor-General to conduct financial and compliance audit and issue a quarterly report. Completeness of the information should specifically be mentioned in the report, especially consideration of policies and procedures adopted by the State Accountant General to capture and report extra-budgetary support. For Q1 2021, the audit to cover funds allocated in FY2021 budget for COVID-19 response and recovery.</w:t>
            </w:r>
          </w:p>
        </w:tc>
      </w:tr>
      <w:tr w:rsidR="0095291E" w:rsidRPr="00F66630" w14:paraId="0A27EB4A" w14:textId="77777777" w:rsidTr="004627E0">
        <w:tc>
          <w:tcPr>
            <w:tcW w:w="5000" w:type="pct"/>
            <w:gridSpan w:val="4"/>
            <w:shd w:val="clear" w:color="auto" w:fill="FDE9D9" w:themeFill="accent6" w:themeFillTint="33"/>
          </w:tcPr>
          <w:p w14:paraId="25640BDD"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 xml:space="preserve">Data Source and Procedures to assess achievement </w:t>
            </w:r>
          </w:p>
        </w:tc>
      </w:tr>
      <w:tr w:rsidR="0095291E" w:rsidRPr="00F66630" w14:paraId="0679F26A" w14:textId="77777777" w:rsidTr="004627E0">
        <w:tc>
          <w:tcPr>
            <w:tcW w:w="5000" w:type="pct"/>
            <w:gridSpan w:val="4"/>
          </w:tcPr>
          <w:p w14:paraId="387A2CBB"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4212DA46"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Accountant General, State Auditor General, State Ministry of Finance, Budget and Planning and State website</w:t>
            </w:r>
          </w:p>
          <w:p w14:paraId="5C1E0385" w14:textId="6EFF3E12" w:rsidR="0095291E" w:rsidRPr="00F66630" w:rsidRDefault="0095291E" w:rsidP="00261473">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the State House of Assembly, the Office of the Auditor-General for States.</w:t>
            </w:r>
          </w:p>
        </w:tc>
      </w:tr>
      <w:tr w:rsidR="0095291E" w:rsidRPr="00F66630" w14:paraId="30F46EAC" w14:textId="77777777" w:rsidTr="004627E0">
        <w:tc>
          <w:tcPr>
            <w:tcW w:w="5000" w:type="pct"/>
            <w:gridSpan w:val="4"/>
          </w:tcPr>
          <w:p w14:paraId="0F5591F8" w14:textId="748CBC85"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0782E8F6" w14:textId="4EE442E4" w:rsidR="008A2F28" w:rsidRPr="00F66630" w:rsidRDefault="008A2F28" w:rsidP="008A2F28">
            <w:pPr>
              <w:spacing w:before="60"/>
              <w:rPr>
                <w:rFonts w:ascii="Times New Roman" w:hAnsi="Times New Roman" w:cs="Times New Roman"/>
                <w:i/>
                <w:iCs/>
              </w:rPr>
            </w:pPr>
            <w:r w:rsidRPr="00F66630">
              <w:rPr>
                <w:rFonts w:ascii="Times New Roman" w:hAnsi="Times New Roman" w:cs="Times New Roman"/>
                <w:i/>
                <w:iCs/>
              </w:rPr>
              <w:t xml:space="preserve">As this is a scalable DLR </w:t>
            </w:r>
            <w:r w:rsidR="0038127D" w:rsidRPr="00F66630">
              <w:rPr>
                <w:rFonts w:ascii="Times New Roman" w:hAnsi="Times New Roman" w:cs="Times New Roman"/>
                <w:i/>
                <w:iCs/>
              </w:rPr>
              <w:t xml:space="preserve">with </w:t>
            </w:r>
            <w:r w:rsidRPr="00F66630">
              <w:rPr>
                <w:rFonts w:ascii="Times New Roman" w:hAnsi="Times New Roman" w:cs="Times New Roman"/>
                <w:i/>
                <w:iCs/>
              </w:rPr>
              <w:t xml:space="preserve">each report </w:t>
            </w:r>
            <w:r w:rsidR="0038127D" w:rsidRPr="00F66630">
              <w:rPr>
                <w:rFonts w:ascii="Times New Roman" w:hAnsi="Times New Roman" w:cs="Times New Roman"/>
                <w:i/>
                <w:iCs/>
              </w:rPr>
              <w:t>having a</w:t>
            </w:r>
            <w:r w:rsidRPr="00F66630">
              <w:rPr>
                <w:rFonts w:ascii="Times New Roman" w:hAnsi="Times New Roman" w:cs="Times New Roman"/>
                <w:i/>
                <w:iCs/>
              </w:rPr>
              <w:t xml:space="preserve"> value attached to it so each of the 5 BERs and 3 audit reports </w:t>
            </w:r>
            <w:r w:rsidR="0038127D" w:rsidRPr="00F66630">
              <w:rPr>
                <w:rFonts w:ascii="Times New Roman" w:hAnsi="Times New Roman" w:cs="Times New Roman"/>
                <w:i/>
                <w:iCs/>
              </w:rPr>
              <w:t xml:space="preserve">will be </w:t>
            </w:r>
            <w:r w:rsidRPr="00F66630">
              <w:rPr>
                <w:rFonts w:ascii="Times New Roman" w:hAnsi="Times New Roman" w:cs="Times New Roman"/>
                <w:i/>
                <w:iCs/>
              </w:rPr>
              <w:t xml:space="preserve">assessed separately </w:t>
            </w:r>
          </w:p>
          <w:p w14:paraId="56293FD6" w14:textId="77777777" w:rsidR="008A2F28" w:rsidRPr="00F66630" w:rsidRDefault="008A2F28" w:rsidP="004627E0">
            <w:pPr>
              <w:pStyle w:val="CommentText"/>
              <w:rPr>
                <w:rFonts w:ascii="Times New Roman" w:hAnsi="Times New Roman" w:cs="Times New Roman"/>
                <w:b/>
                <w:i/>
                <w:sz w:val="22"/>
                <w:szCs w:val="22"/>
                <w:u w:val="single"/>
              </w:rPr>
            </w:pPr>
          </w:p>
          <w:p w14:paraId="4A7A5B7E" w14:textId="77777777"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Download the Monthly COVID-19 Budget execution reports from the open treasury portal.</w:t>
            </w:r>
          </w:p>
          <w:p w14:paraId="5314CC2F" w14:textId="7CB2B767"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 xml:space="preserve">Confirm the dates of </w:t>
            </w:r>
            <w:r w:rsidR="00853FDC" w:rsidRPr="00F66630">
              <w:rPr>
                <w:rFonts w:ascii="Times New Roman" w:hAnsi="Times New Roman" w:cs="Times New Roman"/>
              </w:rPr>
              <w:t>submission to GIFMIS team at O</w:t>
            </w:r>
            <w:r w:rsidR="00C55B54" w:rsidRPr="00F66630">
              <w:rPr>
                <w:rFonts w:ascii="Times New Roman" w:hAnsi="Times New Roman" w:cs="Times New Roman"/>
              </w:rPr>
              <w:t>AGF</w:t>
            </w:r>
            <w:r w:rsidR="00853FDC" w:rsidRPr="00F66630">
              <w:rPr>
                <w:rFonts w:ascii="Times New Roman" w:hAnsi="Times New Roman" w:cs="Times New Roman"/>
              </w:rPr>
              <w:t>,</w:t>
            </w:r>
            <w:r w:rsidR="001503C3" w:rsidRPr="00F66630">
              <w:rPr>
                <w:rFonts w:ascii="Times New Roman" w:hAnsi="Times New Roman" w:cs="Times New Roman"/>
              </w:rPr>
              <w:t xml:space="preserve"> the dates of publication online on State website (if applicable),</w:t>
            </w:r>
            <w:r w:rsidR="00853FDC" w:rsidRPr="00F66630">
              <w:rPr>
                <w:rFonts w:ascii="Times New Roman" w:hAnsi="Times New Roman" w:cs="Times New Roman"/>
              </w:rPr>
              <w:t xml:space="preserve"> the dates of </w:t>
            </w:r>
            <w:r w:rsidRPr="00F66630">
              <w:rPr>
                <w:rFonts w:ascii="Times New Roman" w:hAnsi="Times New Roman" w:cs="Times New Roman"/>
              </w:rPr>
              <w:t>posting to the open treasury portal and evidence of posting on the stated dates. Confirmation will be through a timestamp showing the date of publication (or through evidence obtained from the GIFMIS team in Office of Accountant General of the Federation). The reports must be posted within four weeks of the end of each month.</w:t>
            </w:r>
          </w:p>
          <w:p w14:paraId="5FEA17FD" w14:textId="238A4311"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 xml:space="preserve">Confirm that the reports </w:t>
            </w:r>
            <w:r w:rsidR="00853FDC" w:rsidRPr="00F66630">
              <w:rPr>
                <w:rFonts w:ascii="Times New Roman" w:hAnsi="Times New Roman" w:cs="Times New Roman"/>
              </w:rPr>
              <w:t>use</w:t>
            </w:r>
            <w:r w:rsidRPr="00F66630">
              <w:rPr>
                <w:rFonts w:ascii="Times New Roman" w:hAnsi="Times New Roman" w:cs="Times New Roman"/>
              </w:rPr>
              <w:t xml:space="preserve"> </w:t>
            </w:r>
            <w:proofErr w:type="gramStart"/>
            <w:r w:rsidRPr="00F66630">
              <w:rPr>
                <w:rFonts w:ascii="Times New Roman" w:hAnsi="Times New Roman" w:cs="Times New Roman"/>
              </w:rPr>
              <w:t>NCOA</w:t>
            </w:r>
            <w:proofErr w:type="gramEnd"/>
            <w:r w:rsidRPr="00F66630">
              <w:rPr>
                <w:rFonts w:ascii="Times New Roman" w:hAnsi="Times New Roman" w:cs="Times New Roman"/>
              </w:rPr>
              <w:t xml:space="preserve"> and each include, at a minimum, all required information.</w:t>
            </w:r>
          </w:p>
          <w:p w14:paraId="32A73AD9" w14:textId="0D55842E"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Download the quarterly audit report on the State government’s COVID-19 Budget execution reports from State official website</w:t>
            </w:r>
            <w:r w:rsidR="00853FDC" w:rsidRPr="00F66630">
              <w:rPr>
                <w:rFonts w:ascii="Times New Roman" w:hAnsi="Times New Roman" w:cs="Times New Roman"/>
              </w:rPr>
              <w:t xml:space="preserve"> or open treasury portal</w:t>
            </w:r>
            <w:r w:rsidRPr="00F66630">
              <w:rPr>
                <w:rFonts w:ascii="Times New Roman" w:hAnsi="Times New Roman" w:cs="Times New Roman"/>
              </w:rPr>
              <w:t>.</w:t>
            </w:r>
          </w:p>
          <w:p w14:paraId="54896CEC" w14:textId="77777777"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Confirm the dates of posting to the website and evidence of posting on the stated dates. Confirmation will be through a timestamp showing the date of publication (or through evidence obtained from the State IT Service provider). The reports must be posted within two months of the end of each quarter.</w:t>
            </w:r>
          </w:p>
          <w:p w14:paraId="37248EA0" w14:textId="77777777" w:rsidR="0095291E" w:rsidRPr="00F66630" w:rsidRDefault="0095291E" w:rsidP="00D20318">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Confirm that the reports cover financial and compliance audit and comment on the completeness of the information in COVID-19 budget execution reports.</w:t>
            </w:r>
          </w:p>
          <w:p w14:paraId="2C59C663" w14:textId="77777777" w:rsidR="00261473" w:rsidRPr="00F66630" w:rsidRDefault="0095291E" w:rsidP="00261473">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Confirm submission of the audit reports to the State House of Assembly.</w:t>
            </w:r>
          </w:p>
          <w:p w14:paraId="0359BF8E" w14:textId="77777777" w:rsidR="00261473" w:rsidRPr="00F66630" w:rsidRDefault="007251F6" w:rsidP="00261473">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Submissions (by email) from the State to GIFMIS at OAGF of the BERs for uploading to Open Treasury Portal.</w:t>
            </w:r>
          </w:p>
          <w:p w14:paraId="25BF24D3" w14:textId="6F1B3F56" w:rsidR="007251F6" w:rsidRPr="00F66630" w:rsidRDefault="007251F6" w:rsidP="00261473">
            <w:pPr>
              <w:pStyle w:val="ListParagraph"/>
              <w:numPr>
                <w:ilvl w:val="0"/>
                <w:numId w:val="69"/>
              </w:numPr>
              <w:spacing w:after="120"/>
              <w:rPr>
                <w:rFonts w:ascii="Times New Roman" w:hAnsi="Times New Roman" w:cs="Times New Roman"/>
              </w:rPr>
            </w:pPr>
            <w:r w:rsidRPr="00F66630">
              <w:rPr>
                <w:rFonts w:ascii="Times New Roman" w:hAnsi="Times New Roman" w:cs="Times New Roman"/>
              </w:rPr>
              <w:t xml:space="preserve">Report from GIFMIS team at OAGF of States’ submission of BERs (date, completeness).                                                                                                                                                                                                                                                                                                                                                                                                                                                                      </w:t>
            </w:r>
          </w:p>
        </w:tc>
      </w:tr>
      <w:tr w:rsidR="0095291E" w:rsidRPr="00F66630" w14:paraId="4E9C7E43" w14:textId="77777777" w:rsidTr="004627E0">
        <w:trPr>
          <w:trHeight w:val="206"/>
        </w:trPr>
        <w:tc>
          <w:tcPr>
            <w:tcW w:w="5000" w:type="pct"/>
            <w:gridSpan w:val="4"/>
            <w:shd w:val="clear" w:color="auto" w:fill="EAF1DD" w:themeFill="accent3" w:themeFillTint="33"/>
          </w:tcPr>
          <w:p w14:paraId="5A9247FF" w14:textId="6505B9E5" w:rsidR="00792D94" w:rsidRPr="00F66630" w:rsidRDefault="00792D94" w:rsidP="002159E0">
            <w:pPr>
              <w:rPr>
                <w:rFonts w:cs="Times New Roman"/>
                <w:bCs/>
              </w:rPr>
            </w:pPr>
            <w:r w:rsidRPr="00F66630">
              <w:rPr>
                <w:rFonts w:ascii="Times New Roman" w:hAnsi="Times New Roman"/>
                <w:b/>
                <w:bCs/>
              </w:rPr>
              <w:t>DLI 10. Enhanced transparency and accountability of funds in the COVID-19 response and resilient recovery phases</w:t>
            </w:r>
          </w:p>
          <w:p w14:paraId="6F6D4928" w14:textId="0DF79BCA" w:rsidR="0095291E" w:rsidRPr="00F66630" w:rsidRDefault="000D3017" w:rsidP="002159E0">
            <w:pPr>
              <w:pStyle w:val="Heading3"/>
              <w:numPr>
                <w:ilvl w:val="0"/>
                <w:numId w:val="0"/>
              </w:numPr>
              <w:outlineLvl w:val="2"/>
              <w:rPr>
                <w:rFonts w:eastAsiaTheme="minorHAnsi" w:cs="Times New Roman"/>
                <w:bCs w:val="0"/>
                <w:i/>
                <w:iCs/>
                <w:sz w:val="22"/>
                <w:szCs w:val="22"/>
              </w:rPr>
            </w:pPr>
            <w:bookmarkStart w:id="39" w:name="_Toc107345860"/>
            <w:r w:rsidRPr="00F66630">
              <w:rPr>
                <w:rFonts w:cs="Times New Roman"/>
                <w:bCs w:val="0"/>
                <w:i/>
                <w:iCs/>
                <w:sz w:val="22"/>
                <w:szCs w:val="22"/>
              </w:rPr>
              <w:lastRenderedPageBreak/>
              <w:t xml:space="preserve">DLR </w:t>
            </w:r>
            <w:r w:rsidR="00792D94" w:rsidRPr="00F66630">
              <w:rPr>
                <w:rFonts w:cs="Times New Roman"/>
                <w:bCs w:val="0"/>
                <w:i/>
                <w:iCs/>
                <w:sz w:val="22"/>
                <w:szCs w:val="22"/>
              </w:rPr>
              <w:t>10.3</w:t>
            </w:r>
            <w:r w:rsidR="0095291E" w:rsidRPr="00F66630">
              <w:rPr>
                <w:rFonts w:cs="Times New Roman"/>
                <w:bCs w:val="0"/>
                <w:i/>
                <w:iCs/>
                <w:sz w:val="22"/>
                <w:szCs w:val="22"/>
              </w:rPr>
              <w:t>: Enactment and implementation of State Audit Law</w:t>
            </w:r>
            <w:bookmarkEnd w:id="39"/>
          </w:p>
        </w:tc>
      </w:tr>
      <w:tr w:rsidR="0095291E" w:rsidRPr="00F66630" w14:paraId="75E4A340" w14:textId="77777777" w:rsidTr="009C576D">
        <w:trPr>
          <w:trHeight w:val="470"/>
        </w:trPr>
        <w:tc>
          <w:tcPr>
            <w:tcW w:w="1077" w:type="pct"/>
            <w:shd w:val="clear" w:color="auto" w:fill="FDE9D9" w:themeFill="accent6" w:themeFillTint="33"/>
          </w:tcPr>
          <w:p w14:paraId="64A4BE8F"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923" w:type="pct"/>
            <w:gridSpan w:val="3"/>
            <w:shd w:val="clear" w:color="auto" w:fill="FDE9D9" w:themeFill="accent6" w:themeFillTint="33"/>
          </w:tcPr>
          <w:p w14:paraId="1F2F5535"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185EF01C" w14:textId="77777777" w:rsidTr="009C576D">
        <w:tc>
          <w:tcPr>
            <w:tcW w:w="1077" w:type="pct"/>
          </w:tcPr>
          <w:p w14:paraId="5F57B5A6" w14:textId="52B36783" w:rsidR="0095291E" w:rsidRPr="00F66630" w:rsidRDefault="00E91F57" w:rsidP="004627E0">
            <w:pPr>
              <w:pStyle w:val="BodyText"/>
              <w:rPr>
                <w:rFonts w:ascii="Times New Roman" w:hAnsi="Times New Roman" w:cs="Times New Roman"/>
              </w:rPr>
            </w:pPr>
            <w:r w:rsidRPr="00F66630">
              <w:rPr>
                <w:rFonts w:ascii="Times New Roman" w:hAnsi="Times New Roman" w:cs="Times New Roman"/>
                <w:b/>
                <w:bCs/>
              </w:rPr>
              <w:t xml:space="preserve">10.3 </w:t>
            </w:r>
            <w:r w:rsidR="0095291E" w:rsidRPr="00F66630">
              <w:rPr>
                <w:rFonts w:ascii="Times New Roman" w:hAnsi="Times New Roman" w:cs="Times New Roman"/>
                <w:b/>
                <w:bCs/>
              </w:rPr>
              <w:t xml:space="preserve">No later than </w:t>
            </w:r>
            <w:r w:rsidR="006B307D" w:rsidRPr="00F66630">
              <w:rPr>
                <w:rFonts w:ascii="Times New Roman" w:hAnsi="Times New Roman" w:cs="Times New Roman"/>
                <w:b/>
                <w:bCs/>
              </w:rPr>
              <w:t>December</w:t>
            </w:r>
            <w:r w:rsidR="0095291E" w:rsidRPr="00F66630">
              <w:rPr>
                <w:rFonts w:ascii="Times New Roman" w:hAnsi="Times New Roman" w:cs="Times New Roman"/>
                <w:b/>
                <w:bCs/>
              </w:rPr>
              <w:t xml:space="preserve"> 3</w:t>
            </w:r>
            <w:r w:rsidR="00A34597" w:rsidRPr="00F66630">
              <w:rPr>
                <w:rFonts w:ascii="Times New Roman" w:hAnsi="Times New Roman" w:cs="Times New Roman"/>
                <w:b/>
                <w:bCs/>
              </w:rPr>
              <w:t>1</w:t>
            </w:r>
            <w:r w:rsidR="0095291E" w:rsidRPr="00F66630">
              <w:rPr>
                <w:rFonts w:ascii="Times New Roman" w:hAnsi="Times New Roman" w:cs="Times New Roman"/>
                <w:b/>
                <w:bCs/>
              </w:rPr>
              <w:t>, 2021</w:t>
            </w:r>
            <w:r w:rsidR="0095291E" w:rsidRPr="00F66630">
              <w:rPr>
                <w:rFonts w:ascii="Times New Roman" w:hAnsi="Times New Roman" w:cs="Times New Roman"/>
              </w:rPr>
              <w:t>, the implementation of operational and financial autonomy (per criteria set out in the Verification Protocol) for the Offices of State and Local Governments Auditors-</w:t>
            </w:r>
            <w:proofErr w:type="gramStart"/>
            <w:r w:rsidR="0095291E" w:rsidRPr="00F66630">
              <w:rPr>
                <w:rFonts w:ascii="Times New Roman" w:hAnsi="Times New Roman" w:cs="Times New Roman"/>
              </w:rPr>
              <w:t>General  in</w:t>
            </w:r>
            <w:proofErr w:type="gramEnd"/>
            <w:r w:rsidR="0095291E" w:rsidRPr="00F66630">
              <w:rPr>
                <w:rFonts w:ascii="Times New Roman" w:hAnsi="Times New Roman" w:cs="Times New Roman"/>
              </w:rPr>
              <w:t xml:space="preserve"> the Participating State, through a strengthened legal framework (the “State Audit Law”); </w:t>
            </w:r>
          </w:p>
          <w:p w14:paraId="42E0949F" w14:textId="77777777" w:rsidR="0095291E" w:rsidRPr="00F66630" w:rsidRDefault="0095291E" w:rsidP="004627E0">
            <w:pPr>
              <w:pStyle w:val="BodyText"/>
              <w:contextualSpacing/>
              <w:rPr>
                <w:rFonts w:ascii="Times New Roman" w:hAnsi="Times New Roman" w:cs="Times New Roman"/>
              </w:rPr>
            </w:pPr>
            <w:r w:rsidRPr="00F66630">
              <w:rPr>
                <w:rFonts w:ascii="Times New Roman" w:hAnsi="Times New Roman" w:cs="Times New Roman"/>
              </w:rPr>
              <w:t>AND</w:t>
            </w:r>
          </w:p>
          <w:p w14:paraId="3CB26025" w14:textId="2A052404" w:rsidR="0095291E" w:rsidRPr="00F66630" w:rsidRDefault="0095291E" w:rsidP="004627E0">
            <w:pPr>
              <w:pStyle w:val="BodyText"/>
              <w:contextualSpacing/>
              <w:rPr>
                <w:rFonts w:ascii="Times New Roman" w:hAnsi="Times New Roman" w:cs="Times New Roman"/>
              </w:rPr>
            </w:pPr>
            <w:r w:rsidRPr="00F66630">
              <w:rPr>
                <w:rFonts w:ascii="Times New Roman" w:hAnsi="Times New Roman" w:cs="Times New Roman"/>
              </w:rPr>
              <w:t>Provision of resources for implementation of financial autonomy by inclusion of provisions in the FY 2021 budget for funding of the Offices of State and Local Governments Auditors-</w:t>
            </w:r>
            <w:proofErr w:type="gramStart"/>
            <w:r w:rsidRPr="00F66630">
              <w:rPr>
                <w:rFonts w:ascii="Times New Roman" w:hAnsi="Times New Roman" w:cs="Times New Roman"/>
              </w:rPr>
              <w:t>General;</w:t>
            </w:r>
            <w:proofErr w:type="gramEnd"/>
          </w:p>
          <w:p w14:paraId="221F30C1" w14:textId="77777777" w:rsidR="0095291E" w:rsidRPr="00F66630" w:rsidRDefault="0095291E" w:rsidP="004627E0">
            <w:pPr>
              <w:pStyle w:val="BodyText"/>
              <w:contextualSpacing/>
              <w:rPr>
                <w:rFonts w:ascii="Times New Roman" w:hAnsi="Times New Roman" w:cs="Times New Roman"/>
              </w:rPr>
            </w:pPr>
          </w:p>
          <w:p w14:paraId="219E1044" w14:textId="77777777" w:rsidR="0095291E" w:rsidRPr="00F66630" w:rsidRDefault="0095291E" w:rsidP="004627E0">
            <w:pPr>
              <w:pStyle w:val="BodyText"/>
              <w:contextualSpacing/>
              <w:rPr>
                <w:rFonts w:ascii="Times New Roman" w:hAnsi="Times New Roman" w:cs="Times New Roman"/>
              </w:rPr>
            </w:pPr>
            <w:r w:rsidRPr="00F66630">
              <w:rPr>
                <w:rFonts w:ascii="Times New Roman" w:hAnsi="Times New Roman" w:cs="Times New Roman"/>
              </w:rPr>
              <w:t>AND</w:t>
            </w:r>
          </w:p>
          <w:p w14:paraId="47E2C45D" w14:textId="77777777" w:rsidR="0095291E" w:rsidRPr="00F66630" w:rsidRDefault="0095291E" w:rsidP="004627E0">
            <w:pPr>
              <w:pStyle w:val="BodyText"/>
              <w:contextualSpacing/>
              <w:rPr>
                <w:rFonts w:ascii="Times New Roman" w:hAnsi="Times New Roman" w:cs="Times New Roman"/>
                <w:b/>
                <w:bCs/>
              </w:rPr>
            </w:pPr>
            <w:r w:rsidRPr="00F66630">
              <w:rPr>
                <w:rFonts w:ascii="Times New Roman" w:hAnsi="Times New Roman" w:cs="Times New Roman"/>
              </w:rPr>
              <w:t xml:space="preserve">Instructions for implementing the operational autonomy provisions of the new or existing State Audit Law have been issued by the Head of Service or the Secretary to State Government of the Participating State. </w:t>
            </w:r>
          </w:p>
        </w:tc>
        <w:tc>
          <w:tcPr>
            <w:tcW w:w="3923" w:type="pct"/>
            <w:gridSpan w:val="3"/>
          </w:tcPr>
          <w:p w14:paraId="6193FE72" w14:textId="356B3D6E"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To achieve this DL</w:t>
            </w:r>
            <w:r w:rsidR="003C26F9" w:rsidRPr="00F66630">
              <w:rPr>
                <w:rFonts w:ascii="Times New Roman" w:hAnsi="Times New Roman" w:cs="Times New Roman"/>
                <w:noProof/>
              </w:rPr>
              <w:t>R</w:t>
            </w:r>
            <w:r w:rsidRPr="00F66630">
              <w:rPr>
                <w:rFonts w:ascii="Times New Roman" w:hAnsi="Times New Roman" w:cs="Times New Roman"/>
                <w:noProof/>
              </w:rPr>
              <w:t xml:space="preserve">, ALL the following need to be achieved by </w:t>
            </w:r>
            <w:r w:rsidR="006B307D" w:rsidRPr="00F66630">
              <w:rPr>
                <w:rFonts w:ascii="Times New Roman" w:hAnsi="Times New Roman" w:cs="Times New Roman"/>
                <w:noProof/>
              </w:rPr>
              <w:t xml:space="preserve">December </w:t>
            </w:r>
            <w:r w:rsidRPr="00F66630">
              <w:rPr>
                <w:rFonts w:ascii="Times New Roman" w:hAnsi="Times New Roman" w:cs="Times New Roman"/>
                <w:noProof/>
              </w:rPr>
              <w:t>3</w:t>
            </w:r>
            <w:r w:rsidR="00A34597" w:rsidRPr="00F66630">
              <w:rPr>
                <w:rFonts w:ascii="Times New Roman" w:hAnsi="Times New Roman" w:cs="Times New Roman"/>
                <w:noProof/>
              </w:rPr>
              <w:t>1</w:t>
            </w:r>
            <w:r w:rsidRPr="00F66630">
              <w:rPr>
                <w:rFonts w:ascii="Times New Roman" w:hAnsi="Times New Roman" w:cs="Times New Roman"/>
                <w:noProof/>
              </w:rPr>
              <w:t>, 2021:</w:t>
            </w:r>
          </w:p>
          <w:p w14:paraId="05955361" w14:textId="77777777" w:rsidR="0095291E" w:rsidRPr="00F66630" w:rsidRDefault="0095291E" w:rsidP="00D20318">
            <w:pPr>
              <w:pStyle w:val="ListParagraph"/>
              <w:numPr>
                <w:ilvl w:val="0"/>
                <w:numId w:val="63"/>
              </w:numPr>
              <w:spacing w:after="120"/>
              <w:contextualSpacing w:val="0"/>
              <w:rPr>
                <w:rFonts w:ascii="Times New Roman" w:hAnsi="Times New Roman" w:cs="Times New Roman"/>
                <w:noProof/>
              </w:rPr>
            </w:pPr>
            <w:r w:rsidRPr="00F66630">
              <w:rPr>
                <w:rFonts w:ascii="Times New Roman" w:hAnsi="Times New Roman" w:cs="Times New Roman"/>
                <w:noProof/>
              </w:rPr>
              <w:t>Enactment or amendment of the State Audit Law granting operational and financial autonomy* to the Offices of Auditors-General at the State and Local Government Levels, or existing legislation fully meeting requirement.</w:t>
            </w:r>
          </w:p>
          <w:p w14:paraId="4ACA1D12" w14:textId="0AB99782" w:rsidR="00A07A12" w:rsidRPr="00F66630" w:rsidRDefault="0095291E" w:rsidP="00D64601">
            <w:pPr>
              <w:pStyle w:val="ListParagraph"/>
              <w:numPr>
                <w:ilvl w:val="0"/>
                <w:numId w:val="63"/>
              </w:numPr>
              <w:spacing w:after="120"/>
              <w:contextualSpacing w:val="0"/>
              <w:rPr>
                <w:rFonts w:ascii="Times New Roman" w:hAnsi="Times New Roman" w:cs="Times New Roman"/>
                <w:noProof/>
              </w:rPr>
            </w:pPr>
            <w:r w:rsidRPr="00F66630">
              <w:rPr>
                <w:rFonts w:ascii="Times New Roman" w:hAnsi="Times New Roman" w:cs="Times New Roman"/>
                <w:noProof/>
              </w:rPr>
              <w:t xml:space="preserve">Resources </w:t>
            </w:r>
            <w:r w:rsidRPr="00631E23">
              <w:rPr>
                <w:rFonts w:ascii="Times New Roman" w:hAnsi="Times New Roman" w:cs="Times New Roman"/>
                <w:noProof/>
                <w:shd w:val="clear" w:color="auto" w:fill="FFFFFF" w:themeFill="background1"/>
              </w:rPr>
              <w:t xml:space="preserve">provided for implementation of financial autonomy by </w:t>
            </w:r>
            <w:r w:rsidR="006B307D" w:rsidRPr="00631E23">
              <w:rPr>
                <w:rFonts w:ascii="Times New Roman" w:hAnsi="Times New Roman" w:cs="Times New Roman"/>
                <w:noProof/>
                <w:shd w:val="clear" w:color="auto" w:fill="FFFFFF" w:themeFill="background1"/>
              </w:rPr>
              <w:t xml:space="preserve">(i) having </w:t>
            </w:r>
            <w:r w:rsidRPr="00631E23">
              <w:rPr>
                <w:rFonts w:ascii="Times New Roman" w:hAnsi="Times New Roman" w:cs="Times New Roman"/>
                <w:noProof/>
                <w:shd w:val="clear" w:color="auto" w:fill="FFFFFF" w:themeFill="background1"/>
              </w:rPr>
              <w:t>provisions in the FY2021 budget</w:t>
            </w:r>
            <w:r w:rsidR="00F06243" w:rsidRPr="00631E23">
              <w:rPr>
                <w:rFonts w:ascii="Times New Roman" w:hAnsi="Times New Roman" w:cs="Times New Roman"/>
                <w:noProof/>
                <w:shd w:val="clear" w:color="auto" w:fill="FFFFFF" w:themeFill="background1"/>
              </w:rPr>
              <w:t xml:space="preserve"> </w:t>
            </w:r>
            <w:r w:rsidR="00A07A12" w:rsidRPr="00631E23">
              <w:rPr>
                <w:rFonts w:ascii="Times New Roman" w:eastAsia="Times New Roman" w:hAnsi="Times New Roman" w:cs="Times New Roman"/>
                <w:color w:val="000000"/>
                <w:shd w:val="clear" w:color="auto" w:fill="FFFFFF" w:themeFill="background1"/>
              </w:rPr>
              <w:t xml:space="preserve">(the original approved FY21 budget or through subsequent budget reallocation/revised budget/supplementary budget passed by July 31, 2021) for funding of the Offices of States and Local Governments Auditors and having released cash against these provisions in </w:t>
            </w:r>
            <w:r w:rsidR="008103CA" w:rsidRPr="00631E23">
              <w:rPr>
                <w:rFonts w:ascii="Times New Roman" w:eastAsia="Times New Roman" w:hAnsi="Times New Roman" w:cs="Times New Roman"/>
                <w:color w:val="000000"/>
                <w:shd w:val="clear" w:color="auto" w:fill="FFFFFF" w:themeFill="background1"/>
              </w:rPr>
              <w:t xml:space="preserve">FY </w:t>
            </w:r>
            <w:r w:rsidR="00A07A12" w:rsidRPr="00631E23">
              <w:rPr>
                <w:rFonts w:ascii="Times New Roman" w:eastAsia="Times New Roman" w:hAnsi="Times New Roman" w:cs="Times New Roman"/>
                <w:color w:val="000000"/>
                <w:shd w:val="clear" w:color="auto" w:fill="FFFFFF" w:themeFill="background1"/>
              </w:rPr>
              <w:t>2021; and (ii) the State Audit Law provides for financial autonomy and security of financial resources for State and Local Government Audit Offices (</w:t>
            </w:r>
            <w:r w:rsidR="008103CA" w:rsidRPr="00631E23">
              <w:rPr>
                <w:rFonts w:ascii="Times New Roman" w:eastAsia="Times New Roman" w:hAnsi="Times New Roman" w:cs="Times New Roman"/>
                <w:color w:val="000000"/>
                <w:shd w:val="clear" w:color="auto" w:fill="FFFFFF" w:themeFill="background1"/>
              </w:rPr>
              <w:t xml:space="preserve">to be </w:t>
            </w:r>
            <w:r w:rsidR="00A07A12" w:rsidRPr="00631E23">
              <w:rPr>
                <w:rFonts w:ascii="Times New Roman" w:eastAsia="Times New Roman" w:hAnsi="Times New Roman" w:cs="Times New Roman"/>
                <w:color w:val="000000"/>
                <w:shd w:val="clear" w:color="auto" w:fill="FFFFFF" w:themeFill="background1"/>
              </w:rPr>
              <w:t>effective FY 2022 budget year at the latest).</w:t>
            </w:r>
            <w:r w:rsidR="00A07A12" w:rsidRPr="00F66630">
              <w:rPr>
                <w:rFonts w:ascii="Times New Roman" w:eastAsia="Times New Roman" w:hAnsi="Times New Roman" w:cs="Times New Roman"/>
                <w:color w:val="000000"/>
              </w:rPr>
              <w:t>  </w:t>
            </w:r>
          </w:p>
          <w:p w14:paraId="0B5DA1F6" w14:textId="208D4786" w:rsidR="0095291E" w:rsidRPr="00F66630" w:rsidRDefault="0095291E" w:rsidP="00D20318">
            <w:pPr>
              <w:pStyle w:val="ListParagraph"/>
              <w:numPr>
                <w:ilvl w:val="0"/>
                <w:numId w:val="63"/>
              </w:numPr>
              <w:spacing w:after="120"/>
              <w:contextualSpacing w:val="0"/>
              <w:rPr>
                <w:rFonts w:ascii="Times New Roman" w:hAnsi="Times New Roman" w:cs="Times New Roman"/>
                <w:noProof/>
              </w:rPr>
            </w:pPr>
            <w:r w:rsidRPr="00F66630">
              <w:rPr>
                <w:rFonts w:ascii="Times New Roman" w:hAnsi="Times New Roman" w:cs="Times New Roman"/>
                <w:noProof/>
              </w:rPr>
              <w:t>Actions taken for implementation of operational autonomy provisions of the State Audit Law by issuance of instructions by the State Head of Service or the Secretary to the State Government</w:t>
            </w:r>
            <w:r w:rsidR="009F03B2" w:rsidRPr="00F66630">
              <w:rPr>
                <w:rFonts w:ascii="Times New Roman" w:hAnsi="Times New Roman" w:cs="Times New Roman"/>
                <w:noProof/>
              </w:rPr>
              <w:t>. The instructions should inform stakeholders of the operational autonomy provisions of the State Audit Law and should be consistent with those provisions.</w:t>
            </w:r>
          </w:p>
          <w:p w14:paraId="00C4221B" w14:textId="66FDAEBA"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*The new, existing or amended State Audit Law must provide for independence of the Offices of the State and Local Government Auditors-General building on the provision of Sections 125 – 127 of the 1999 Constitution of the Federal Republic of Nigeria. in line with ISSAI</w:t>
            </w:r>
            <w:r w:rsidR="00345467" w:rsidRPr="00F66630">
              <w:rPr>
                <w:rFonts w:ascii="Times New Roman" w:hAnsi="Times New Roman" w:cs="Times New Roman"/>
                <w:noProof/>
              </w:rPr>
              <w:t xml:space="preserve">  - The</w:t>
            </w:r>
            <w:r w:rsidRPr="00F66630">
              <w:rPr>
                <w:rFonts w:ascii="Times New Roman" w:hAnsi="Times New Roman" w:cs="Times New Roman"/>
                <w:noProof/>
              </w:rPr>
              <w:t xml:space="preserve"> 10 Mexico Declaration on the Independence of Supreme Audit Institutions covering the following:</w:t>
            </w:r>
          </w:p>
          <w:p w14:paraId="351E583B" w14:textId="77777777" w:rsidR="00BC2B52" w:rsidRPr="00F66630" w:rsidRDefault="00BC2B52" w:rsidP="004627E0">
            <w:pPr>
              <w:spacing w:line="256" w:lineRule="auto"/>
              <w:rPr>
                <w:rFonts w:ascii="Times New Roman" w:hAnsi="Times New Roman" w:cs="Times New Roman"/>
                <w:noProof/>
              </w:rPr>
            </w:pPr>
          </w:p>
          <w:p w14:paraId="7F5D0E91"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1. The Auditor General should be empowered to audit the:</w:t>
            </w:r>
          </w:p>
          <w:p w14:paraId="3004C9B0" w14:textId="77777777" w:rsidR="0095291E" w:rsidRPr="00F66630" w:rsidRDefault="0095291E" w:rsidP="00D20318">
            <w:pPr>
              <w:widowControl w:val="0"/>
              <w:numPr>
                <w:ilvl w:val="0"/>
                <w:numId w:val="66"/>
              </w:numPr>
              <w:autoSpaceDE w:val="0"/>
              <w:autoSpaceDN w:val="0"/>
              <w:adjustRightInd w:val="0"/>
              <w:rPr>
                <w:rFonts w:ascii="Times New Roman" w:hAnsi="Times New Roman" w:cs="Times New Roman"/>
                <w:noProof/>
              </w:rPr>
            </w:pPr>
            <w:r w:rsidRPr="00F66630">
              <w:rPr>
                <w:rFonts w:ascii="Times New Roman" w:hAnsi="Times New Roman" w:cs="Times New Roman"/>
                <w:noProof/>
              </w:rPr>
              <w:t>use of public monies, resources, or assets, by a recipient or beneficiary regardless of its legal nature;</w:t>
            </w:r>
          </w:p>
          <w:p w14:paraId="42BA3170" w14:textId="77777777" w:rsidR="0095291E" w:rsidRPr="00F66630" w:rsidRDefault="0095291E" w:rsidP="00D20318">
            <w:pPr>
              <w:widowControl w:val="0"/>
              <w:numPr>
                <w:ilvl w:val="0"/>
                <w:numId w:val="66"/>
              </w:numPr>
              <w:autoSpaceDE w:val="0"/>
              <w:autoSpaceDN w:val="0"/>
              <w:adjustRightInd w:val="0"/>
              <w:rPr>
                <w:rFonts w:ascii="Times New Roman" w:hAnsi="Times New Roman" w:cs="Times New Roman"/>
                <w:noProof/>
              </w:rPr>
            </w:pPr>
            <w:r w:rsidRPr="00F66630">
              <w:rPr>
                <w:rFonts w:ascii="Times New Roman" w:hAnsi="Times New Roman" w:cs="Times New Roman"/>
                <w:noProof/>
              </w:rPr>
              <w:t>collection of revenues owed to the government or public entities; </w:t>
            </w:r>
          </w:p>
          <w:p w14:paraId="7C0780FB" w14:textId="77777777" w:rsidR="0095291E" w:rsidRPr="00F66630" w:rsidRDefault="0095291E" w:rsidP="00D20318">
            <w:pPr>
              <w:widowControl w:val="0"/>
              <w:numPr>
                <w:ilvl w:val="0"/>
                <w:numId w:val="66"/>
              </w:numPr>
              <w:autoSpaceDE w:val="0"/>
              <w:autoSpaceDN w:val="0"/>
              <w:adjustRightInd w:val="0"/>
              <w:rPr>
                <w:rFonts w:ascii="Times New Roman" w:hAnsi="Times New Roman" w:cs="Times New Roman"/>
                <w:noProof/>
              </w:rPr>
            </w:pPr>
            <w:r w:rsidRPr="00F66630">
              <w:rPr>
                <w:rFonts w:ascii="Times New Roman" w:hAnsi="Times New Roman" w:cs="Times New Roman"/>
                <w:noProof/>
              </w:rPr>
              <w:t>quality of financial management and reporting; and</w:t>
            </w:r>
          </w:p>
          <w:p w14:paraId="46EC2195" w14:textId="77777777" w:rsidR="0095291E" w:rsidRPr="00F66630" w:rsidRDefault="0095291E" w:rsidP="00D20318">
            <w:pPr>
              <w:widowControl w:val="0"/>
              <w:numPr>
                <w:ilvl w:val="0"/>
                <w:numId w:val="66"/>
              </w:numPr>
              <w:autoSpaceDE w:val="0"/>
              <w:autoSpaceDN w:val="0"/>
              <w:adjustRightInd w:val="0"/>
              <w:rPr>
                <w:rFonts w:ascii="Times New Roman" w:hAnsi="Times New Roman" w:cs="Times New Roman"/>
                <w:noProof/>
              </w:rPr>
            </w:pPr>
            <w:r w:rsidRPr="00F66630">
              <w:rPr>
                <w:rFonts w:ascii="Times New Roman" w:hAnsi="Times New Roman" w:cs="Times New Roman"/>
                <w:noProof/>
              </w:rPr>
              <w:t>economy, efficiency, and effectiveness of government operations</w:t>
            </w:r>
          </w:p>
          <w:p w14:paraId="6512449E" w14:textId="77777777" w:rsidR="00BE239F" w:rsidRPr="00F66630" w:rsidRDefault="00BE239F" w:rsidP="00BE239F">
            <w:pPr>
              <w:spacing w:line="256" w:lineRule="auto"/>
              <w:rPr>
                <w:rFonts w:ascii="Times New Roman" w:hAnsi="Times New Roman" w:cs="Times New Roman"/>
                <w:noProof/>
              </w:rPr>
            </w:pPr>
            <w:r w:rsidRPr="00F66630">
              <w:rPr>
                <w:rFonts w:ascii="Times New Roman" w:hAnsi="Times New Roman" w:cs="Times New Roman"/>
                <w:noProof/>
              </w:rPr>
              <w:t>2. The Auditor General should be free from direction or interference from the Legislature or the Executive in the</w:t>
            </w:r>
          </w:p>
          <w:p w14:paraId="08DF4B80" w14:textId="77777777" w:rsidR="00BE239F" w:rsidRPr="00F66630" w:rsidRDefault="00BE239F" w:rsidP="00D20318">
            <w:pPr>
              <w:widowControl w:val="0"/>
              <w:numPr>
                <w:ilvl w:val="0"/>
                <w:numId w:val="67"/>
              </w:numPr>
              <w:autoSpaceDE w:val="0"/>
              <w:autoSpaceDN w:val="0"/>
              <w:adjustRightInd w:val="0"/>
              <w:rPr>
                <w:rFonts w:ascii="Times New Roman" w:hAnsi="Times New Roman" w:cs="Times New Roman"/>
                <w:noProof/>
              </w:rPr>
            </w:pPr>
            <w:r w:rsidRPr="00F66630">
              <w:rPr>
                <w:rFonts w:ascii="Times New Roman" w:hAnsi="Times New Roman" w:cs="Times New Roman"/>
                <w:noProof/>
              </w:rPr>
              <w:t>selection of audit issues; </w:t>
            </w:r>
          </w:p>
          <w:p w14:paraId="796028C4" w14:textId="77777777" w:rsidR="00BE239F" w:rsidRPr="00F66630" w:rsidRDefault="00BE239F" w:rsidP="00D20318">
            <w:pPr>
              <w:widowControl w:val="0"/>
              <w:numPr>
                <w:ilvl w:val="0"/>
                <w:numId w:val="67"/>
              </w:numPr>
              <w:autoSpaceDE w:val="0"/>
              <w:autoSpaceDN w:val="0"/>
              <w:adjustRightInd w:val="0"/>
              <w:rPr>
                <w:rFonts w:ascii="Times New Roman" w:hAnsi="Times New Roman" w:cs="Times New Roman"/>
                <w:noProof/>
              </w:rPr>
            </w:pPr>
            <w:r w:rsidRPr="00F66630">
              <w:rPr>
                <w:rFonts w:ascii="Times New Roman" w:hAnsi="Times New Roman" w:cs="Times New Roman"/>
                <w:noProof/>
              </w:rPr>
              <w:t>planning, programming, conduct, reporting, and follow-up of audits; and</w:t>
            </w:r>
          </w:p>
          <w:p w14:paraId="7908DB0A" w14:textId="77777777" w:rsidR="00BE239F" w:rsidRPr="00F66630" w:rsidRDefault="00BE239F" w:rsidP="00D20318">
            <w:pPr>
              <w:widowControl w:val="0"/>
              <w:numPr>
                <w:ilvl w:val="0"/>
                <w:numId w:val="67"/>
              </w:numPr>
              <w:autoSpaceDE w:val="0"/>
              <w:autoSpaceDN w:val="0"/>
              <w:adjustRightInd w:val="0"/>
              <w:rPr>
                <w:rFonts w:ascii="Times New Roman" w:hAnsi="Times New Roman" w:cs="Times New Roman"/>
                <w:noProof/>
              </w:rPr>
            </w:pPr>
            <w:r w:rsidRPr="00F66630">
              <w:rPr>
                <w:rFonts w:ascii="Times New Roman" w:hAnsi="Times New Roman" w:cs="Times New Roman"/>
                <w:noProof/>
              </w:rPr>
              <w:t>organization and management of the Office of the Auditor General.</w:t>
            </w:r>
          </w:p>
          <w:p w14:paraId="54BA42E0" w14:textId="77777777" w:rsidR="0095291E" w:rsidRPr="00F66630" w:rsidRDefault="0095291E" w:rsidP="004627E0">
            <w:pPr>
              <w:widowControl w:val="0"/>
              <w:autoSpaceDE w:val="0"/>
              <w:autoSpaceDN w:val="0"/>
              <w:adjustRightInd w:val="0"/>
              <w:spacing w:line="256" w:lineRule="auto"/>
              <w:ind w:left="720"/>
              <w:rPr>
                <w:rFonts w:ascii="Times New Roman" w:hAnsi="Times New Roman" w:cs="Times New Roman"/>
                <w:noProof/>
              </w:rPr>
            </w:pPr>
          </w:p>
          <w:p w14:paraId="0B7C458D" w14:textId="3443FBCE" w:rsidR="008F008D"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 xml:space="preserve">3. </w:t>
            </w:r>
            <w:r w:rsidR="00D8711B" w:rsidRPr="00F66630">
              <w:rPr>
                <w:rFonts w:ascii="Times New Roman" w:hAnsi="Times New Roman" w:cs="Times New Roman"/>
                <w:noProof/>
              </w:rPr>
              <w:t xml:space="preserve">The </w:t>
            </w:r>
            <w:r w:rsidRPr="00F66630">
              <w:rPr>
                <w:rFonts w:ascii="Times New Roman" w:hAnsi="Times New Roman" w:cs="Times New Roman"/>
                <w:noProof/>
              </w:rPr>
              <w:t xml:space="preserve">Audit Law should provide for financial and operational autonomy and the availability of appropriate human, </w:t>
            </w:r>
            <w:r w:rsidRPr="00F66630">
              <w:rPr>
                <w:rFonts w:ascii="Times New Roman" w:hAnsi="Times New Roman" w:cs="Times New Roman"/>
                <w:noProof/>
              </w:rPr>
              <w:lastRenderedPageBreak/>
              <w:t>material, and monetary resources to enable the performance of statutory responsibilities by the Auditor General. Processes for budget allocation and utilization should include safeguards such that the Executive should not control or limit the access to these resources.</w:t>
            </w:r>
            <w:r w:rsidR="00022444" w:rsidRPr="00F66630">
              <w:rPr>
                <w:rFonts w:ascii="Times New Roman" w:hAnsi="Times New Roman" w:cs="Times New Roman"/>
                <w:noProof/>
              </w:rPr>
              <w:t xml:space="preserve"> The Audit law should also be compliant with the requirement of ISSAI 10 for Auditors-General to be ‘</w:t>
            </w:r>
            <w:r w:rsidR="00022444" w:rsidRPr="00F66630">
              <w:rPr>
                <w:rFonts w:ascii="Times New Roman" w:hAnsi="Times New Roman" w:cs="Times New Roman"/>
                <w:i/>
                <w:iCs/>
                <w:noProof/>
              </w:rPr>
              <w:t xml:space="preserve">given appointments with sufficiently long and fixed terms, to allow them carry out their mandates without fear of retaliation’ </w:t>
            </w:r>
            <w:r w:rsidR="00022444" w:rsidRPr="00F66630">
              <w:rPr>
                <w:rFonts w:ascii="Times New Roman" w:hAnsi="Times New Roman" w:cs="Times New Roman"/>
                <w:noProof/>
              </w:rPr>
              <w:t>(Principle 2).</w:t>
            </w:r>
          </w:p>
          <w:p w14:paraId="07AA36D5" w14:textId="77777777" w:rsidR="005B2026" w:rsidRPr="00F66630" w:rsidRDefault="005B2026" w:rsidP="004627E0">
            <w:pPr>
              <w:spacing w:line="256" w:lineRule="auto"/>
              <w:rPr>
                <w:rFonts w:ascii="Times New Roman" w:hAnsi="Times New Roman" w:cs="Times New Roman"/>
                <w:noProof/>
              </w:rPr>
            </w:pPr>
          </w:p>
          <w:p w14:paraId="7A9BD727" w14:textId="15939AD2" w:rsidR="00542907" w:rsidRPr="00F66630" w:rsidRDefault="00542907" w:rsidP="004627E0">
            <w:pPr>
              <w:spacing w:line="256" w:lineRule="auto"/>
              <w:rPr>
                <w:rFonts w:ascii="Times New Roman" w:hAnsi="Times New Roman" w:cs="Times New Roman"/>
                <w:noProof/>
              </w:rPr>
            </w:pPr>
            <w:r w:rsidRPr="00F66630">
              <w:rPr>
                <w:rFonts w:ascii="Times New Roman" w:hAnsi="Times New Roman" w:cs="Times New Roman"/>
                <w:noProof/>
              </w:rPr>
              <w:t xml:space="preserve">A checklist </w:t>
            </w:r>
            <w:r w:rsidR="00C37EF8" w:rsidRPr="00F66630">
              <w:rPr>
                <w:rFonts w:ascii="Times New Roman" w:hAnsi="Times New Roman" w:cs="Times New Roman"/>
                <w:noProof/>
              </w:rPr>
              <w:t>has been</w:t>
            </w:r>
            <w:r w:rsidRPr="00F66630">
              <w:rPr>
                <w:rFonts w:ascii="Times New Roman" w:hAnsi="Times New Roman" w:cs="Times New Roman"/>
                <w:noProof/>
              </w:rPr>
              <w:t xml:space="preserve"> provided to States</w:t>
            </w:r>
            <w:r w:rsidR="002C595F" w:rsidRPr="00F66630">
              <w:rPr>
                <w:rFonts w:ascii="Times New Roman" w:hAnsi="Times New Roman" w:cs="Times New Roman"/>
                <w:noProof/>
              </w:rPr>
              <w:t xml:space="preserve"> by NGF</w:t>
            </w:r>
            <w:r w:rsidRPr="00F66630">
              <w:rPr>
                <w:rFonts w:ascii="Times New Roman" w:hAnsi="Times New Roman" w:cs="Times New Roman"/>
                <w:noProof/>
              </w:rPr>
              <w:t xml:space="preserve"> </w:t>
            </w:r>
            <w:r w:rsidR="0049749F" w:rsidRPr="00F66630">
              <w:rPr>
                <w:rFonts w:ascii="Times New Roman" w:hAnsi="Times New Roman" w:cs="Times New Roman"/>
                <w:noProof/>
              </w:rPr>
              <w:t xml:space="preserve">on the </w:t>
            </w:r>
            <w:r w:rsidR="003A7B2E" w:rsidRPr="00F66630">
              <w:rPr>
                <w:rFonts w:ascii="Times New Roman" w:hAnsi="Times New Roman" w:cs="Times New Roman"/>
                <w:noProof/>
              </w:rPr>
              <w:t xml:space="preserve">required content </w:t>
            </w:r>
            <w:r w:rsidR="000A7329" w:rsidRPr="00F66630">
              <w:rPr>
                <w:rFonts w:ascii="Times New Roman" w:hAnsi="Times New Roman" w:cs="Times New Roman"/>
                <w:noProof/>
              </w:rPr>
              <w:t xml:space="preserve">to be in line with </w:t>
            </w:r>
            <w:r w:rsidR="00892A6F" w:rsidRPr="00F66630">
              <w:rPr>
                <w:rFonts w:ascii="Times New Roman" w:hAnsi="Times New Roman" w:cs="Times New Roman"/>
                <w:noProof/>
              </w:rPr>
              <w:t>the principles of the Mexico declaration/ISSAI 10</w:t>
            </w:r>
            <w:r w:rsidR="001B5466" w:rsidRPr="00F66630">
              <w:rPr>
                <w:rFonts w:ascii="Times New Roman" w:hAnsi="Times New Roman" w:cs="Times New Roman"/>
                <w:noProof/>
              </w:rPr>
              <w:t xml:space="preserve"> on the independence of SAIs</w:t>
            </w:r>
            <w:r w:rsidR="000A7329" w:rsidRPr="00F66630">
              <w:rPr>
                <w:rFonts w:ascii="Times New Roman" w:hAnsi="Times New Roman" w:cs="Times New Roman"/>
                <w:noProof/>
              </w:rPr>
              <w:t>, taking into account the context of Nigerian States.</w:t>
            </w:r>
          </w:p>
          <w:p w14:paraId="3FF796BF" w14:textId="632299E9" w:rsidR="005B2026" w:rsidRPr="00F66630" w:rsidRDefault="00583F77" w:rsidP="004627E0">
            <w:pPr>
              <w:spacing w:line="256" w:lineRule="auto"/>
              <w:rPr>
                <w:rFonts w:ascii="Times New Roman" w:hAnsi="Times New Roman" w:cs="Times New Roman"/>
                <w:noProof/>
              </w:rPr>
            </w:pPr>
            <w:r w:rsidRPr="00F66630">
              <w:rPr>
                <w:rFonts w:ascii="Times New Roman" w:hAnsi="Times New Roman" w:cs="Times New Roman"/>
                <w:noProof/>
              </w:rPr>
              <w:t>A sample instructions has been provided to State by NGF</w:t>
            </w:r>
            <w:r w:rsidRPr="00F66630">
              <w:rPr>
                <w:rFonts w:ascii="Times New Roman" w:hAnsi="Times New Roman" w:cs="Times New Roman"/>
              </w:rPr>
              <w:t xml:space="preserve"> for implementing the operational autonomy provisions of the new or existing State Audit Law</w:t>
            </w:r>
          </w:p>
        </w:tc>
      </w:tr>
      <w:tr w:rsidR="0095291E" w:rsidRPr="00F66630" w14:paraId="3F0F2FCD" w14:textId="77777777" w:rsidTr="004627E0">
        <w:tc>
          <w:tcPr>
            <w:tcW w:w="5000" w:type="pct"/>
            <w:gridSpan w:val="4"/>
            <w:shd w:val="clear" w:color="auto" w:fill="FDE9D9" w:themeFill="accent6" w:themeFillTint="33"/>
          </w:tcPr>
          <w:p w14:paraId="0D2E2A08"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 xml:space="preserve">Data Source and Procedures to assess achievement </w:t>
            </w:r>
          </w:p>
        </w:tc>
      </w:tr>
      <w:tr w:rsidR="0095291E" w:rsidRPr="00F66630" w14:paraId="34342F78" w14:textId="77777777" w:rsidTr="004627E0">
        <w:tc>
          <w:tcPr>
            <w:tcW w:w="5000" w:type="pct"/>
            <w:gridSpan w:val="4"/>
          </w:tcPr>
          <w:p w14:paraId="44A99C78"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39E48EFF"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Auditor General, 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 </w:t>
            </w:r>
          </w:p>
          <w:p w14:paraId="3266FE3D" w14:textId="051FC4E8" w:rsidR="0095291E" w:rsidRPr="00F66630" w:rsidRDefault="0095291E" w:rsidP="00754F11">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such as SBIR, the PPA, the State House of Assembly, the Office of the Auditor-General for States.</w:t>
            </w:r>
          </w:p>
        </w:tc>
      </w:tr>
      <w:tr w:rsidR="0095291E" w:rsidRPr="00F66630" w14:paraId="6C6EAC79" w14:textId="77777777" w:rsidTr="004627E0">
        <w:tc>
          <w:tcPr>
            <w:tcW w:w="5000" w:type="pct"/>
            <w:gridSpan w:val="4"/>
          </w:tcPr>
          <w:p w14:paraId="510DE91B" w14:textId="77777777"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1DB49AD6" w14:textId="77777777" w:rsidR="0095291E" w:rsidRPr="00F66630" w:rsidRDefault="0095291E" w:rsidP="00D20318">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State to provide a copy of the enacted Audit Law</w:t>
            </w:r>
          </w:p>
          <w:p w14:paraId="5AB15659" w14:textId="3F0452E6" w:rsidR="009B3B51" w:rsidRPr="00F66630" w:rsidRDefault="009B3B51" w:rsidP="009B3B51">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 xml:space="preserve">IVA to get a copy of the checklist given to States </w:t>
            </w:r>
            <w:r w:rsidR="00821D3A" w:rsidRPr="00F66630">
              <w:rPr>
                <w:rFonts w:ascii="Times New Roman" w:hAnsi="Times New Roman" w:cs="Times New Roman"/>
              </w:rPr>
              <w:t xml:space="preserve">by NGF </w:t>
            </w:r>
            <w:r w:rsidRPr="00F66630">
              <w:rPr>
                <w:rFonts w:ascii="Times New Roman" w:hAnsi="Times New Roman" w:cs="Times New Roman"/>
              </w:rPr>
              <w:t>on the Audit Law</w:t>
            </w:r>
            <w:r w:rsidR="002319CD" w:rsidRPr="00F66630">
              <w:rPr>
                <w:rFonts w:ascii="Times New Roman" w:hAnsi="Times New Roman" w:cs="Times New Roman"/>
              </w:rPr>
              <w:t xml:space="preserve"> for reviewing </w:t>
            </w:r>
            <w:r w:rsidR="009D1658" w:rsidRPr="00F66630">
              <w:rPr>
                <w:rFonts w:ascii="Times New Roman" w:hAnsi="Times New Roman" w:cs="Times New Roman"/>
              </w:rPr>
              <w:t>adequacy of content in the State Audit Law</w:t>
            </w:r>
          </w:p>
          <w:p w14:paraId="23ED2729" w14:textId="5C040F0F" w:rsidR="00FC08F4" w:rsidRPr="00F66630" w:rsidRDefault="00FC08F4" w:rsidP="009B3B51">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IVA to get a copy of the sample instructions given to States by NGF for implementing the operational autonomy provisions of the new or existing State Audit Law</w:t>
            </w:r>
          </w:p>
          <w:p w14:paraId="63C72433" w14:textId="13A31E26" w:rsidR="00EA2B5A" w:rsidRPr="00F66630" w:rsidRDefault="0095291E" w:rsidP="00EA2B5A">
            <w:pPr>
              <w:pStyle w:val="ListParagraph"/>
              <w:numPr>
                <w:ilvl w:val="0"/>
                <w:numId w:val="65"/>
              </w:numPr>
              <w:spacing w:after="120"/>
              <w:rPr>
                <w:rFonts w:ascii="Times New Roman" w:hAnsi="Times New Roman" w:cs="Times New Roman"/>
                <w:noProof/>
              </w:rPr>
            </w:pPr>
            <w:r w:rsidRPr="00F66630">
              <w:rPr>
                <w:rFonts w:ascii="Times New Roman" w:hAnsi="Times New Roman" w:cs="Times New Roman"/>
              </w:rPr>
              <w:t>State Auditor General to provide information on budget request for FY2021</w:t>
            </w:r>
            <w:r w:rsidR="00EA2B5A" w:rsidRPr="00F66630">
              <w:rPr>
                <w:rFonts w:ascii="Times New Roman" w:hAnsi="Times New Roman" w:cs="Times New Roman"/>
              </w:rPr>
              <w:t xml:space="preserve"> and </w:t>
            </w:r>
            <w:r w:rsidR="00EA2B5A" w:rsidRPr="00F66630">
              <w:rPr>
                <w:rFonts w:ascii="Times New Roman" w:hAnsi="Times New Roman" w:cs="Times New Roman"/>
                <w:noProof/>
              </w:rPr>
              <w:t xml:space="preserve">subsequent budget reallocation/revised budget/supplementary budget passed by </w:t>
            </w:r>
            <w:r w:rsidR="00B45E58" w:rsidRPr="00F66630">
              <w:rPr>
                <w:rFonts w:ascii="Times New Roman" w:hAnsi="Times New Roman" w:cs="Times New Roman"/>
                <w:noProof/>
              </w:rPr>
              <w:t>July 31</w:t>
            </w:r>
            <w:r w:rsidR="00EA2B5A" w:rsidRPr="00F66630">
              <w:rPr>
                <w:rFonts w:ascii="Times New Roman" w:hAnsi="Times New Roman" w:cs="Times New Roman"/>
                <w:noProof/>
              </w:rPr>
              <w:t>, 2021, highlighting the budget provisions for the Offices of States and Local Governments Auditors-General</w:t>
            </w:r>
            <w:r w:rsidR="0033247E" w:rsidRPr="00F66630">
              <w:rPr>
                <w:rFonts w:ascii="Times New Roman" w:hAnsi="Times New Roman" w:cs="Times New Roman"/>
                <w:noProof/>
              </w:rPr>
              <w:t>, including</w:t>
            </w:r>
            <w:r w:rsidR="00EA2B5A" w:rsidRPr="00F66630">
              <w:rPr>
                <w:rFonts w:ascii="Times New Roman" w:hAnsi="Times New Roman" w:cs="Times New Roman"/>
                <w:noProof/>
              </w:rPr>
              <w:t xml:space="preserve"> that </w:t>
            </w:r>
            <w:r w:rsidR="0033247E" w:rsidRPr="00F66630">
              <w:rPr>
                <w:rFonts w:ascii="Times New Roman" w:hAnsi="Times New Roman" w:cs="Times New Roman"/>
                <w:noProof/>
              </w:rPr>
              <w:t xml:space="preserve">which </w:t>
            </w:r>
            <w:r w:rsidR="00EA2B5A" w:rsidRPr="00F66630">
              <w:rPr>
                <w:rFonts w:ascii="Times New Roman" w:hAnsi="Times New Roman" w:cs="Times New Roman"/>
                <w:noProof/>
              </w:rPr>
              <w:t>enable the implementation of financial autonomy in line with the new, existing or amended State Audit Law. Examples of budget provisions that enable implementation of financial autonomy is provision of take-off funding for the implementation of the Audit laws (where new or amended laws are to be passed) and the funding for the the Offices of States and Local Governments Auditors-General being a first line charge or equivalent.</w:t>
            </w:r>
          </w:p>
          <w:p w14:paraId="04544083" w14:textId="599FBC50" w:rsidR="00AF356B" w:rsidRPr="00F66630" w:rsidRDefault="0095291E" w:rsidP="00AF356B">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IVA to download the 2021 annual budget from the State government’s website</w:t>
            </w:r>
            <w:r w:rsidR="00AF356B" w:rsidRPr="00F66630">
              <w:rPr>
                <w:rFonts w:ascii="Times New Roman" w:hAnsi="Times New Roman" w:cs="Times New Roman"/>
              </w:rPr>
              <w:t xml:space="preserve"> and get copies of any </w:t>
            </w:r>
            <w:r w:rsidR="00AF356B" w:rsidRPr="00F66630">
              <w:rPr>
                <w:rFonts w:ascii="Times New Roman" w:hAnsi="Times New Roman" w:cs="Times New Roman"/>
                <w:noProof/>
              </w:rPr>
              <w:t xml:space="preserve">subsequent budget reallocation/revised budget/supplementary budget passed by </w:t>
            </w:r>
            <w:r w:rsidR="00B45E58" w:rsidRPr="00F66630">
              <w:rPr>
                <w:rFonts w:ascii="Times New Roman" w:hAnsi="Times New Roman" w:cs="Times New Roman"/>
                <w:noProof/>
              </w:rPr>
              <w:t>July 31</w:t>
            </w:r>
            <w:r w:rsidR="00AF356B" w:rsidRPr="00F66630">
              <w:rPr>
                <w:rFonts w:ascii="Times New Roman" w:hAnsi="Times New Roman" w:cs="Times New Roman"/>
                <w:noProof/>
              </w:rPr>
              <w:t>, 2021</w:t>
            </w:r>
            <w:r w:rsidR="00BC2B52" w:rsidRPr="00F66630">
              <w:rPr>
                <w:rFonts w:ascii="Times New Roman" w:hAnsi="Times New Roman" w:cs="Times New Roman"/>
                <w:noProof/>
              </w:rPr>
              <w:t xml:space="preserve"> and evidence of releases</w:t>
            </w:r>
          </w:p>
          <w:p w14:paraId="4E3B4CA4" w14:textId="4A3A1E48" w:rsidR="0095291E" w:rsidRPr="00F66630" w:rsidRDefault="0095291E" w:rsidP="00D20318">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State to provide a copy of the instructions by the State Head of Service or Secretary to the State Government</w:t>
            </w:r>
          </w:p>
          <w:p w14:paraId="62AB8EBC" w14:textId="51374C0C" w:rsidR="008F0CF4" w:rsidRPr="00F66630" w:rsidRDefault="0095291E" w:rsidP="008F0CF4">
            <w:pPr>
              <w:pStyle w:val="ListParagraph"/>
              <w:numPr>
                <w:ilvl w:val="0"/>
                <w:numId w:val="65"/>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r w:rsidR="009E0DB6" w:rsidRPr="00F66630">
              <w:rPr>
                <w:rFonts w:ascii="Times New Roman" w:hAnsi="Times New Roman" w:cs="Times New Roman"/>
              </w:rPr>
              <w:t>:</w:t>
            </w:r>
          </w:p>
          <w:p w14:paraId="7646F1E2" w14:textId="77777777" w:rsidR="00A73F9F" w:rsidRPr="00F66630" w:rsidRDefault="00A73F9F" w:rsidP="00A73F9F">
            <w:pPr>
              <w:pStyle w:val="ListParagraph"/>
              <w:numPr>
                <w:ilvl w:val="1"/>
                <w:numId w:val="65"/>
              </w:numPr>
              <w:spacing w:after="120"/>
              <w:rPr>
                <w:rFonts w:ascii="Times New Roman" w:hAnsi="Times New Roman" w:cs="Times New Roman"/>
              </w:rPr>
            </w:pPr>
            <w:r w:rsidRPr="00F66630">
              <w:rPr>
                <w:rFonts w:ascii="Times New Roman" w:hAnsi="Times New Roman" w:cs="Times New Roman"/>
              </w:rPr>
              <w:t xml:space="preserve">the principles of ISSAI 10 as included within the checklist noted above are adequately covered in the State Audit Law, </w:t>
            </w:r>
          </w:p>
          <w:p w14:paraId="1ABA7160" w14:textId="77777777" w:rsidR="00A73F9F" w:rsidRPr="00F66630" w:rsidRDefault="00A73F9F" w:rsidP="00A73F9F">
            <w:pPr>
              <w:pStyle w:val="ListParagraph"/>
              <w:numPr>
                <w:ilvl w:val="1"/>
                <w:numId w:val="65"/>
              </w:numPr>
              <w:spacing w:after="120"/>
              <w:rPr>
                <w:rFonts w:ascii="Times New Roman" w:hAnsi="Times New Roman" w:cs="Times New Roman"/>
              </w:rPr>
            </w:pPr>
            <w:r w:rsidRPr="00F66630">
              <w:rPr>
                <w:rFonts w:ascii="Times New Roman" w:hAnsi="Times New Roman" w:cs="Times New Roman"/>
              </w:rPr>
              <w:t xml:space="preserve">the instructions issued by the State are adequately in line with the example instructions provided to the State, and </w:t>
            </w:r>
          </w:p>
          <w:p w14:paraId="53F801EC" w14:textId="0FB0FE79" w:rsidR="0095291E" w:rsidRPr="00F66630" w:rsidRDefault="00E56020" w:rsidP="00A73F9F">
            <w:pPr>
              <w:pStyle w:val="ListParagraph"/>
              <w:numPr>
                <w:ilvl w:val="1"/>
                <w:numId w:val="65"/>
              </w:numPr>
              <w:spacing w:after="120"/>
              <w:rPr>
                <w:rFonts w:ascii="Times New Roman" w:hAnsi="Times New Roman" w:cs="Times New Roman"/>
              </w:rPr>
            </w:pPr>
            <w:r w:rsidRPr="00F66630">
              <w:rPr>
                <w:rFonts w:ascii="Times New Roman" w:hAnsi="Times New Roman" w:cs="Times New Roman"/>
              </w:rPr>
              <w:t>cash releases have been made against budget provisions</w:t>
            </w:r>
            <w:r w:rsidR="00D65819" w:rsidRPr="00F66630">
              <w:rPr>
                <w:rFonts w:ascii="Times New Roman" w:hAnsi="Times New Roman" w:cs="Times New Roman"/>
              </w:rPr>
              <w:t xml:space="preserve"> in FY 2021. The IVA will also check whether</w:t>
            </w:r>
            <w:r w:rsidRPr="00F66630">
              <w:rPr>
                <w:rFonts w:ascii="Times New Roman" w:hAnsi="Times New Roman" w:cs="Times New Roman"/>
              </w:rPr>
              <w:t xml:space="preserve"> </w:t>
            </w:r>
            <w:r w:rsidR="00A73F9F" w:rsidRPr="00F66630">
              <w:rPr>
                <w:rFonts w:ascii="Times New Roman" w:hAnsi="Times New Roman" w:cs="Times New Roman"/>
              </w:rPr>
              <w:t>resources have been made available for the implementation of the audit law, where the Audit law is found to be adequate</w:t>
            </w:r>
            <w:r w:rsidR="008F0CF4" w:rsidRPr="00F66630">
              <w:rPr>
                <w:rFonts w:ascii="Times New Roman" w:hAnsi="Times New Roman" w:cs="Times New Roman"/>
              </w:rPr>
              <w:t>.</w:t>
            </w:r>
          </w:p>
        </w:tc>
      </w:tr>
      <w:tr w:rsidR="00251C64" w:rsidRPr="00F66630" w14:paraId="61CD88A1" w14:textId="77777777" w:rsidTr="00C50865">
        <w:trPr>
          <w:trHeight w:val="206"/>
        </w:trPr>
        <w:tc>
          <w:tcPr>
            <w:tcW w:w="5000" w:type="pct"/>
            <w:gridSpan w:val="4"/>
            <w:shd w:val="clear" w:color="auto" w:fill="EAF1DD" w:themeFill="accent3" w:themeFillTint="33"/>
          </w:tcPr>
          <w:p w14:paraId="55E51C10" w14:textId="223C0EBC" w:rsidR="00FE1795" w:rsidRPr="00F66630" w:rsidRDefault="00FE1795" w:rsidP="002159E0">
            <w:pPr>
              <w:rPr>
                <w:rFonts w:cs="Times New Roman"/>
                <w:bCs/>
              </w:rPr>
            </w:pPr>
            <w:r w:rsidRPr="00F66630">
              <w:rPr>
                <w:rFonts w:ascii="Times New Roman" w:hAnsi="Times New Roman"/>
                <w:b/>
                <w:bCs/>
              </w:rPr>
              <w:t>DLI 11:</w:t>
            </w:r>
            <w:r w:rsidR="000D3017" w:rsidRPr="00F66630">
              <w:t xml:space="preserve"> </w:t>
            </w:r>
            <w:r w:rsidRPr="00F66630">
              <w:rPr>
                <w:rFonts w:ascii="Times New Roman" w:hAnsi="Times New Roman"/>
                <w:b/>
                <w:bCs/>
              </w:rPr>
              <w:t>Provided structured tax relief in response to COVID-19 and strengthened tax administration (personal income tax and property taxation) to enhance non-oil tax collection in the resilient recovery phase</w:t>
            </w:r>
          </w:p>
          <w:p w14:paraId="4DB9891A" w14:textId="71963A7F" w:rsidR="00251C64" w:rsidRPr="00F66630" w:rsidRDefault="002556D7" w:rsidP="00C93D2C">
            <w:pPr>
              <w:pStyle w:val="Heading3"/>
              <w:numPr>
                <w:ilvl w:val="0"/>
                <w:numId w:val="0"/>
              </w:numPr>
              <w:outlineLvl w:val="2"/>
              <w:rPr>
                <w:rFonts w:eastAsia="Calibri" w:cs="Times New Roman"/>
                <w:bCs w:val="0"/>
                <w:i/>
                <w:iCs/>
                <w:sz w:val="22"/>
                <w:szCs w:val="22"/>
              </w:rPr>
            </w:pPr>
            <w:bookmarkStart w:id="40" w:name="_Toc107345861"/>
            <w:r w:rsidRPr="00F66630">
              <w:rPr>
                <w:rFonts w:cs="Times New Roman"/>
                <w:bCs w:val="0"/>
                <w:i/>
                <w:iCs/>
                <w:sz w:val="22"/>
                <w:szCs w:val="22"/>
              </w:rPr>
              <w:lastRenderedPageBreak/>
              <w:t xml:space="preserve">DLR </w:t>
            </w:r>
            <w:r w:rsidR="00FE1795" w:rsidRPr="00F66630">
              <w:rPr>
                <w:rFonts w:cs="Times New Roman"/>
                <w:bCs w:val="0"/>
                <w:i/>
                <w:iCs/>
                <w:sz w:val="22"/>
                <w:szCs w:val="22"/>
              </w:rPr>
              <w:t>11.1</w:t>
            </w:r>
            <w:r w:rsidR="00251C64" w:rsidRPr="00F66630">
              <w:rPr>
                <w:rFonts w:cs="Times New Roman"/>
                <w:bCs w:val="0"/>
                <w:i/>
                <w:iCs/>
                <w:sz w:val="22"/>
                <w:szCs w:val="22"/>
              </w:rPr>
              <w:t>: Announced and started implementation of a tax compliance relief program for individual taxpayers and businesses</w:t>
            </w:r>
            <w:bookmarkEnd w:id="40"/>
          </w:p>
        </w:tc>
      </w:tr>
      <w:tr w:rsidR="00251C64" w:rsidRPr="00F66630" w14:paraId="01FF04CA" w14:textId="77777777" w:rsidTr="00423C81">
        <w:trPr>
          <w:trHeight w:val="470"/>
        </w:trPr>
        <w:tc>
          <w:tcPr>
            <w:tcW w:w="1600" w:type="pct"/>
            <w:gridSpan w:val="3"/>
            <w:shd w:val="clear" w:color="auto" w:fill="FDE9D9" w:themeFill="accent6" w:themeFillTint="33"/>
          </w:tcPr>
          <w:p w14:paraId="24FF6EB1" w14:textId="77777777" w:rsidR="00251C64" w:rsidRPr="00F66630" w:rsidRDefault="00251C64" w:rsidP="00C50865">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400" w:type="pct"/>
            <w:shd w:val="clear" w:color="auto" w:fill="FDE9D9" w:themeFill="accent6" w:themeFillTint="33"/>
          </w:tcPr>
          <w:p w14:paraId="76464CD9" w14:textId="77777777" w:rsidR="00251C64" w:rsidRPr="00F66630" w:rsidRDefault="00251C64" w:rsidP="00C50865">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251C64" w:rsidRPr="00F66630" w14:paraId="592AC9E6" w14:textId="77777777" w:rsidTr="00423C81">
        <w:tc>
          <w:tcPr>
            <w:tcW w:w="1600" w:type="pct"/>
            <w:gridSpan w:val="3"/>
          </w:tcPr>
          <w:p w14:paraId="2F6778D9" w14:textId="5AEB7AAD" w:rsidR="00251C64" w:rsidRPr="00F66630" w:rsidRDefault="00E91F57" w:rsidP="00C50865">
            <w:pPr>
              <w:spacing w:after="120"/>
              <w:rPr>
                <w:rFonts w:ascii="Times New Roman" w:hAnsi="Times New Roman" w:cs="Times New Roman"/>
              </w:rPr>
            </w:pPr>
            <w:r w:rsidRPr="00F66630">
              <w:rPr>
                <w:rFonts w:ascii="Times New Roman" w:hAnsi="Times New Roman" w:cs="Times New Roman"/>
                <w:b/>
                <w:bCs/>
              </w:rPr>
              <w:t xml:space="preserve">11.1 </w:t>
            </w:r>
            <w:r w:rsidR="00251C64" w:rsidRPr="00F66630">
              <w:rPr>
                <w:rFonts w:ascii="Times New Roman" w:hAnsi="Times New Roman" w:cs="Times New Roman"/>
                <w:b/>
                <w:bCs/>
              </w:rPr>
              <w:t xml:space="preserve">No later than July 31, 2020, </w:t>
            </w:r>
            <w:r w:rsidR="00251C64" w:rsidRPr="00F66630">
              <w:rPr>
                <w:rFonts w:ascii="Times New Roman" w:hAnsi="Times New Roman" w:cs="Times New Roman"/>
              </w:rPr>
              <w:t xml:space="preserve">a tax compliance relief program for individual taxpayers and businesses, which meets the criteria set out in the Verification Protocol, been approved by the Chair of the State Board of Internal Revenue or the State Commissioner of Finance of the Participating </w:t>
            </w:r>
            <w:proofErr w:type="gramStart"/>
            <w:r w:rsidR="00251C64" w:rsidRPr="00F66630">
              <w:rPr>
                <w:rFonts w:ascii="Times New Roman" w:hAnsi="Times New Roman" w:cs="Times New Roman"/>
              </w:rPr>
              <w:t>State,  and</w:t>
            </w:r>
            <w:proofErr w:type="gramEnd"/>
            <w:r w:rsidR="00251C64" w:rsidRPr="00F66630">
              <w:rPr>
                <w:rFonts w:ascii="Times New Roman" w:hAnsi="Times New Roman" w:cs="Times New Roman"/>
              </w:rPr>
              <w:t xml:space="preserve"> published on a State official website and through a press release; </w:t>
            </w:r>
          </w:p>
          <w:p w14:paraId="598DB71E" w14:textId="1DDC19DC" w:rsidR="00251C64" w:rsidRPr="00F66630" w:rsidRDefault="00251C64" w:rsidP="00C50865">
            <w:pPr>
              <w:spacing w:after="120"/>
              <w:rPr>
                <w:rFonts w:ascii="Times New Roman" w:hAnsi="Times New Roman" w:cs="Times New Roman"/>
                <w:b/>
                <w:bCs/>
              </w:rPr>
            </w:pPr>
            <w:r w:rsidRPr="00F66630">
              <w:rPr>
                <w:rFonts w:ascii="Times New Roman" w:hAnsi="Times New Roman" w:cs="Times New Roman"/>
              </w:rPr>
              <w:t>AND</w:t>
            </w:r>
            <w:r w:rsidR="00423C81" w:rsidRPr="00F66630">
              <w:rPr>
                <w:rFonts w:ascii="Times New Roman" w:hAnsi="Times New Roman" w:cs="Times New Roman"/>
              </w:rPr>
              <w:t xml:space="preserve"> </w:t>
            </w:r>
            <w:proofErr w:type="gramStart"/>
            <w:r w:rsidRPr="00F66630">
              <w:rPr>
                <w:rFonts w:ascii="Times New Roman" w:hAnsi="Times New Roman" w:cs="Times New Roman"/>
              </w:rPr>
              <w:t>No</w:t>
            </w:r>
            <w:proofErr w:type="gramEnd"/>
            <w:r w:rsidRPr="00F66630">
              <w:rPr>
                <w:rFonts w:ascii="Times New Roman" w:hAnsi="Times New Roman" w:cs="Times New Roman"/>
              </w:rPr>
              <w:t xml:space="preserve"> later than September 30, 2020, government guidelines for the implementation of the announced tax compliance relief program has been issued by the Board of Internal Revenue or Ministry of Finance of the Participating State to tax administration officials and agents.</w:t>
            </w:r>
          </w:p>
        </w:tc>
        <w:tc>
          <w:tcPr>
            <w:tcW w:w="3400" w:type="pct"/>
          </w:tcPr>
          <w:p w14:paraId="2CB6D4A3" w14:textId="1637AC48" w:rsidR="00251C64" w:rsidRPr="00F66630" w:rsidRDefault="00251C64" w:rsidP="00C50865">
            <w:pPr>
              <w:spacing w:line="256" w:lineRule="auto"/>
              <w:rPr>
                <w:rFonts w:ascii="Times New Roman" w:hAnsi="Times New Roman" w:cs="Times New Roman"/>
                <w:bCs/>
                <w:iCs/>
              </w:rPr>
            </w:pPr>
            <w:r w:rsidRPr="00F66630">
              <w:rPr>
                <w:rFonts w:ascii="Times New Roman" w:hAnsi="Times New Roman" w:cs="Times New Roman"/>
                <w:bCs/>
                <w:iCs/>
              </w:rPr>
              <w:t>To achieve this DL</w:t>
            </w:r>
            <w:r w:rsidR="00885BC0" w:rsidRPr="00F66630">
              <w:rPr>
                <w:rFonts w:ascii="Times New Roman" w:hAnsi="Times New Roman" w:cs="Times New Roman"/>
                <w:bCs/>
                <w:iCs/>
              </w:rPr>
              <w:t>R</w:t>
            </w:r>
            <w:r w:rsidRPr="00F66630">
              <w:rPr>
                <w:rFonts w:ascii="Times New Roman" w:hAnsi="Times New Roman" w:cs="Times New Roman"/>
                <w:bCs/>
                <w:iCs/>
              </w:rPr>
              <w:t>, ALL the following need to be achieved:</w:t>
            </w:r>
          </w:p>
          <w:p w14:paraId="7D0849C7" w14:textId="77777777" w:rsidR="00251C64" w:rsidRPr="00F66630" w:rsidRDefault="00251C64" w:rsidP="00C50865">
            <w:pPr>
              <w:spacing w:line="256" w:lineRule="auto"/>
              <w:rPr>
                <w:rFonts w:ascii="Times New Roman" w:hAnsi="Times New Roman" w:cs="Times New Roman"/>
                <w:noProof/>
              </w:rPr>
            </w:pPr>
          </w:p>
          <w:p w14:paraId="42034BF5" w14:textId="1D5C5721" w:rsidR="00251C64" w:rsidRPr="00F66630" w:rsidRDefault="00251C64" w:rsidP="00C50865">
            <w:pPr>
              <w:spacing w:line="256" w:lineRule="auto"/>
              <w:rPr>
                <w:rFonts w:ascii="Times New Roman" w:hAnsi="Times New Roman" w:cs="Times New Roman"/>
                <w:noProof/>
              </w:rPr>
            </w:pPr>
            <w:r w:rsidRPr="00F66630">
              <w:rPr>
                <w:rFonts w:ascii="Times New Roman" w:hAnsi="Times New Roman" w:cs="Times New Roman"/>
                <w:noProof/>
              </w:rPr>
              <w:t>1. At the minimum</w:t>
            </w:r>
            <w:r w:rsidR="00CB3968" w:rsidRPr="00F66630">
              <w:rPr>
                <w:rFonts w:ascii="Times New Roman" w:hAnsi="Times New Roman" w:cs="Times New Roman"/>
                <w:noProof/>
              </w:rPr>
              <w:t>,</w:t>
            </w:r>
            <w:r w:rsidRPr="00F66630">
              <w:rPr>
                <w:rFonts w:ascii="Times New Roman" w:hAnsi="Times New Roman" w:cs="Times New Roman"/>
                <w:noProof/>
              </w:rPr>
              <w:t xml:space="preserve"> the Tax Compliance Relief Program has to contain all the following three elements with details as determined by the State:</w:t>
            </w:r>
          </w:p>
          <w:p w14:paraId="1385C8CD" w14:textId="77777777" w:rsidR="00251C64" w:rsidRPr="00F66630" w:rsidRDefault="00251C64" w:rsidP="00D20318">
            <w:pPr>
              <w:pStyle w:val="ListParagraph"/>
              <w:widowControl w:val="0"/>
              <w:numPr>
                <w:ilvl w:val="0"/>
                <w:numId w:val="53"/>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The sectors or segments covered by the program;</w:t>
            </w:r>
          </w:p>
          <w:p w14:paraId="0E752F4D" w14:textId="77777777" w:rsidR="00251C64" w:rsidRPr="00F66630" w:rsidRDefault="00251C64" w:rsidP="00D20318">
            <w:pPr>
              <w:pStyle w:val="ListParagraph"/>
              <w:widowControl w:val="0"/>
              <w:numPr>
                <w:ilvl w:val="0"/>
                <w:numId w:val="53"/>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The extension period for the tax filing and payment dates; and</w:t>
            </w:r>
          </w:p>
          <w:p w14:paraId="40A453BF" w14:textId="77777777" w:rsidR="00251C64" w:rsidRPr="00F66630" w:rsidRDefault="00251C64" w:rsidP="00D20318">
            <w:pPr>
              <w:pStyle w:val="ListParagraph"/>
              <w:widowControl w:val="0"/>
              <w:numPr>
                <w:ilvl w:val="0"/>
                <w:numId w:val="53"/>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The reductions or waivers of penalties and interest over the defined extension period</w:t>
            </w:r>
          </w:p>
          <w:p w14:paraId="7B2D97C1" w14:textId="77777777" w:rsidR="00251C64" w:rsidRPr="00F66630" w:rsidRDefault="00251C64" w:rsidP="00C50865">
            <w:pPr>
              <w:spacing w:line="256" w:lineRule="auto"/>
              <w:rPr>
                <w:rFonts w:ascii="Times New Roman" w:hAnsi="Times New Roman" w:cs="Times New Roman"/>
                <w:noProof/>
              </w:rPr>
            </w:pPr>
          </w:p>
          <w:p w14:paraId="1F23D15C" w14:textId="77777777" w:rsidR="00251C64" w:rsidRPr="00F66630" w:rsidRDefault="00251C64" w:rsidP="00C50865">
            <w:pPr>
              <w:spacing w:line="256" w:lineRule="auto"/>
              <w:rPr>
                <w:rFonts w:ascii="Times New Roman" w:hAnsi="Times New Roman" w:cs="Times New Roman"/>
                <w:noProof/>
              </w:rPr>
            </w:pPr>
            <w:r w:rsidRPr="00F66630">
              <w:rPr>
                <w:rFonts w:ascii="Times New Roman" w:hAnsi="Times New Roman" w:cs="Times New Roman"/>
                <w:noProof/>
              </w:rPr>
              <w:t>2. Announcement procedures completed by 31 July 2020:</w:t>
            </w:r>
          </w:p>
          <w:p w14:paraId="3C236ED8" w14:textId="77777777" w:rsidR="00251C64" w:rsidRPr="00F66630" w:rsidRDefault="00251C64" w:rsidP="00D20318">
            <w:pPr>
              <w:pStyle w:val="ListParagraph"/>
              <w:widowControl w:val="0"/>
              <w:numPr>
                <w:ilvl w:val="0"/>
                <w:numId w:val="54"/>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Tax compliance relief program approved by the Executive Chairman of the SIRS/SBIR OR by the State Commissioner of Finance;</w:t>
            </w:r>
          </w:p>
          <w:p w14:paraId="366025B1" w14:textId="77777777" w:rsidR="00251C64" w:rsidRPr="00F66630" w:rsidRDefault="00251C64" w:rsidP="00D20318">
            <w:pPr>
              <w:pStyle w:val="ListParagraph"/>
              <w:widowControl w:val="0"/>
              <w:numPr>
                <w:ilvl w:val="0"/>
                <w:numId w:val="54"/>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Tax compliance relief program published online on a state government website; and</w:t>
            </w:r>
          </w:p>
          <w:p w14:paraId="2192CD3F" w14:textId="77777777" w:rsidR="00251C64" w:rsidRPr="00F66630" w:rsidRDefault="00251C64" w:rsidP="00D20318">
            <w:pPr>
              <w:pStyle w:val="ListParagraph"/>
              <w:widowControl w:val="0"/>
              <w:numPr>
                <w:ilvl w:val="0"/>
                <w:numId w:val="54"/>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A press release is issued on the tax compliance relief program</w:t>
            </w:r>
          </w:p>
          <w:p w14:paraId="17D8AA7A" w14:textId="77777777" w:rsidR="00251C64" w:rsidRPr="00F66630" w:rsidRDefault="00251C64" w:rsidP="00C50865">
            <w:pPr>
              <w:spacing w:line="256" w:lineRule="auto"/>
              <w:rPr>
                <w:rFonts w:ascii="Times New Roman" w:hAnsi="Times New Roman" w:cs="Times New Roman"/>
                <w:noProof/>
              </w:rPr>
            </w:pPr>
          </w:p>
          <w:p w14:paraId="169B26C3" w14:textId="08B5331E" w:rsidR="00251C64" w:rsidRPr="00F66630" w:rsidRDefault="00251C64" w:rsidP="00423C81">
            <w:pPr>
              <w:spacing w:line="256" w:lineRule="auto"/>
              <w:rPr>
                <w:rFonts w:ascii="Times New Roman" w:hAnsi="Times New Roman" w:cs="Times New Roman"/>
                <w:noProof/>
              </w:rPr>
            </w:pPr>
            <w:r w:rsidRPr="00F66630">
              <w:rPr>
                <w:rFonts w:ascii="Times New Roman" w:hAnsi="Times New Roman" w:cs="Times New Roman"/>
                <w:noProof/>
              </w:rPr>
              <w:t>3. Implementation measure completed by 30 September 2020: Government guidelines for the implementation of the announced tax compliance relief program has been issued by the Board of Internal Revenue or Ministry of Finance of the Participating State to tax administration officials and agents.</w:t>
            </w:r>
          </w:p>
        </w:tc>
      </w:tr>
      <w:tr w:rsidR="00251C64" w:rsidRPr="00F66630" w14:paraId="1493ACBB" w14:textId="77777777" w:rsidTr="00C50865">
        <w:tc>
          <w:tcPr>
            <w:tcW w:w="5000" w:type="pct"/>
            <w:gridSpan w:val="4"/>
            <w:shd w:val="clear" w:color="auto" w:fill="FDE9D9" w:themeFill="accent6" w:themeFillTint="33"/>
          </w:tcPr>
          <w:p w14:paraId="59906C32" w14:textId="0219AC43" w:rsidR="00251C64" w:rsidRPr="00F66630" w:rsidRDefault="00251C64" w:rsidP="00C50865">
            <w:pPr>
              <w:rPr>
                <w:rFonts w:ascii="Times New Roman" w:hAnsi="Times New Roman" w:cs="Times New Roman"/>
                <w:b/>
                <w:i/>
              </w:rPr>
            </w:pPr>
            <w:r w:rsidRPr="00F66630">
              <w:rPr>
                <w:rFonts w:ascii="Times New Roman" w:hAnsi="Times New Roman" w:cs="Times New Roman"/>
                <w:b/>
                <w:i/>
              </w:rPr>
              <w:t>Data Source and Procedures to assess achievement</w:t>
            </w:r>
          </w:p>
        </w:tc>
      </w:tr>
      <w:tr w:rsidR="00251C64" w:rsidRPr="00F66630" w14:paraId="715238A8" w14:textId="77777777" w:rsidTr="00C50865">
        <w:tc>
          <w:tcPr>
            <w:tcW w:w="5000" w:type="pct"/>
            <w:gridSpan w:val="4"/>
          </w:tcPr>
          <w:p w14:paraId="0056515D" w14:textId="77777777" w:rsidR="00251C64" w:rsidRPr="00F66630" w:rsidRDefault="00251C64" w:rsidP="00C50865">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0A7BFE95" w14:textId="77777777" w:rsidR="00251C64" w:rsidRPr="00F66630" w:rsidRDefault="00251C64"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Ministry of Finance, Budget and Planning and State IRS / BIR</w:t>
            </w:r>
          </w:p>
          <w:p w14:paraId="51E24A89" w14:textId="77777777" w:rsidR="00251C64" w:rsidRPr="00F66630" w:rsidRDefault="00251C64"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such as SBIR, the PPA, the State House of Assembly, the Office of the Auditor-General for States.</w:t>
            </w:r>
          </w:p>
        </w:tc>
      </w:tr>
      <w:tr w:rsidR="00251C64" w:rsidRPr="00F66630" w14:paraId="0AC9EAC5" w14:textId="77777777" w:rsidTr="00C50865">
        <w:tc>
          <w:tcPr>
            <w:tcW w:w="5000" w:type="pct"/>
            <w:gridSpan w:val="4"/>
          </w:tcPr>
          <w:p w14:paraId="7A548036" w14:textId="77777777" w:rsidR="00251C64" w:rsidRPr="00F66630" w:rsidRDefault="00251C64" w:rsidP="00C50865">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7FE4BE61" w14:textId="77777777" w:rsidR="00251C64" w:rsidRPr="00F66630" w:rsidRDefault="00251C64" w:rsidP="00D20318">
            <w:pPr>
              <w:pStyle w:val="ListParagraph"/>
              <w:numPr>
                <w:ilvl w:val="0"/>
                <w:numId w:val="52"/>
              </w:numPr>
              <w:spacing w:after="120"/>
              <w:rPr>
                <w:rFonts w:ascii="Times New Roman" w:hAnsi="Times New Roman" w:cs="Times New Roman"/>
              </w:rPr>
            </w:pPr>
            <w:r w:rsidRPr="00F66630">
              <w:rPr>
                <w:rFonts w:ascii="Times New Roman" w:hAnsi="Times New Roman" w:cs="Times New Roman"/>
              </w:rPr>
              <w:t>State provides the link to the announced program published online and press release</w:t>
            </w:r>
          </w:p>
          <w:p w14:paraId="05689810" w14:textId="77777777" w:rsidR="00251C64" w:rsidRPr="00F66630" w:rsidRDefault="00251C64" w:rsidP="00D20318">
            <w:pPr>
              <w:pStyle w:val="ListParagraph"/>
              <w:numPr>
                <w:ilvl w:val="0"/>
                <w:numId w:val="52"/>
              </w:numPr>
              <w:spacing w:after="120"/>
              <w:rPr>
                <w:rFonts w:ascii="Times New Roman" w:hAnsi="Times New Roman" w:cs="Times New Roman"/>
              </w:rPr>
            </w:pPr>
            <w:r w:rsidRPr="00F66630">
              <w:rPr>
                <w:rFonts w:ascii="Times New Roman" w:hAnsi="Times New Roman" w:cs="Times New Roman"/>
              </w:rPr>
              <w:t>State produces a report on implementation status of the announced program with supporting evidence including guidelines issued to tax administration officials and agents on the implementation of the tax compliance relief program</w:t>
            </w:r>
          </w:p>
          <w:p w14:paraId="189E4501" w14:textId="77777777" w:rsidR="00251C64" w:rsidRPr="00F66630" w:rsidRDefault="00251C64" w:rsidP="00D20318">
            <w:pPr>
              <w:pStyle w:val="ListParagraph"/>
              <w:numPr>
                <w:ilvl w:val="0"/>
                <w:numId w:val="52"/>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p>
        </w:tc>
      </w:tr>
      <w:tr w:rsidR="00E23F2E" w:rsidRPr="00F66630" w14:paraId="33FF46B3" w14:textId="77777777" w:rsidTr="004627E0">
        <w:trPr>
          <w:trHeight w:val="206"/>
        </w:trPr>
        <w:tc>
          <w:tcPr>
            <w:tcW w:w="5000" w:type="pct"/>
            <w:gridSpan w:val="4"/>
            <w:shd w:val="clear" w:color="auto" w:fill="EAF1DD" w:themeFill="accent3" w:themeFillTint="33"/>
          </w:tcPr>
          <w:p w14:paraId="2505CF35" w14:textId="5A7A9202" w:rsidR="002556D7" w:rsidRPr="00F66630" w:rsidRDefault="002556D7" w:rsidP="00C93D2C">
            <w:pPr>
              <w:rPr>
                <w:rFonts w:cs="Times New Roman"/>
                <w:bCs/>
              </w:rPr>
            </w:pPr>
            <w:r w:rsidRPr="00F66630">
              <w:rPr>
                <w:rFonts w:ascii="Times New Roman" w:hAnsi="Times New Roman"/>
                <w:b/>
                <w:bCs/>
              </w:rPr>
              <w:t>DLI 11:</w:t>
            </w:r>
            <w:r w:rsidR="000D3017" w:rsidRPr="00F66630">
              <w:t xml:space="preserve"> </w:t>
            </w:r>
            <w:r w:rsidRPr="00F66630">
              <w:rPr>
                <w:rFonts w:ascii="Times New Roman" w:hAnsi="Times New Roman"/>
                <w:b/>
                <w:bCs/>
              </w:rPr>
              <w:t>Provided structured tax relief in response to COVID-19 and strengthened tax administration (personal income tax and property taxation) to enhance non-oil tax collection in the resilient recovery phase</w:t>
            </w:r>
          </w:p>
          <w:p w14:paraId="101FEE22" w14:textId="70D8F19D" w:rsidR="00E23F2E" w:rsidRPr="00F66630" w:rsidRDefault="002556D7" w:rsidP="00C93D2C">
            <w:pPr>
              <w:pStyle w:val="Heading3"/>
              <w:numPr>
                <w:ilvl w:val="0"/>
                <w:numId w:val="0"/>
              </w:numPr>
              <w:outlineLvl w:val="2"/>
              <w:rPr>
                <w:rFonts w:eastAsiaTheme="minorHAnsi" w:cs="Times New Roman"/>
                <w:bCs w:val="0"/>
                <w:i/>
                <w:iCs/>
                <w:sz w:val="22"/>
                <w:szCs w:val="22"/>
              </w:rPr>
            </w:pPr>
            <w:bookmarkStart w:id="41" w:name="_Toc107345862"/>
            <w:r w:rsidRPr="00F66630">
              <w:rPr>
                <w:rFonts w:cs="Times New Roman"/>
                <w:bCs w:val="0"/>
                <w:i/>
                <w:iCs/>
                <w:sz w:val="22"/>
                <w:szCs w:val="22"/>
              </w:rPr>
              <w:t>DLR 11.2</w:t>
            </w:r>
            <w:r w:rsidR="00E23F2E" w:rsidRPr="00F66630">
              <w:rPr>
                <w:rFonts w:cs="Times New Roman"/>
                <w:bCs w:val="0"/>
                <w:i/>
                <w:iCs/>
                <w:sz w:val="22"/>
                <w:szCs w:val="22"/>
              </w:rPr>
              <w:t xml:space="preserve">: Increased efficiency in personal income tax collection by ending the practice of contracting out assessment and collection of </w:t>
            </w:r>
            <w:proofErr w:type="gramStart"/>
            <w:r w:rsidR="00E23F2E" w:rsidRPr="00F66630">
              <w:rPr>
                <w:rFonts w:cs="Times New Roman"/>
                <w:bCs w:val="0"/>
                <w:i/>
                <w:iCs/>
                <w:sz w:val="22"/>
                <w:szCs w:val="22"/>
              </w:rPr>
              <w:t>PIT</w:t>
            </w:r>
            <w:proofErr w:type="gramEnd"/>
            <w:r w:rsidR="00E23F2E" w:rsidRPr="00F66630">
              <w:rPr>
                <w:rFonts w:cs="Times New Roman"/>
                <w:bCs w:val="0"/>
                <w:i/>
                <w:iCs/>
                <w:sz w:val="22"/>
                <w:szCs w:val="22"/>
              </w:rPr>
              <w:t xml:space="preserve"> to private </w:t>
            </w:r>
            <w:r w:rsidR="00E23F2E" w:rsidRPr="00F66630">
              <w:rPr>
                <w:rFonts w:cs="Times New Roman"/>
                <w:bCs w:val="0"/>
                <w:i/>
                <w:iCs/>
                <w:sz w:val="22"/>
                <w:szCs w:val="22"/>
              </w:rPr>
              <w:lastRenderedPageBreak/>
              <w:t>consultants</w:t>
            </w:r>
            <w:bookmarkEnd w:id="41"/>
          </w:p>
        </w:tc>
      </w:tr>
      <w:tr w:rsidR="00E23F2E" w:rsidRPr="00F66630" w14:paraId="4DB381EC" w14:textId="77777777" w:rsidTr="004627E0">
        <w:trPr>
          <w:trHeight w:val="470"/>
        </w:trPr>
        <w:tc>
          <w:tcPr>
            <w:tcW w:w="1371" w:type="pct"/>
            <w:gridSpan w:val="2"/>
            <w:shd w:val="clear" w:color="auto" w:fill="FDE9D9" w:themeFill="accent6" w:themeFillTint="33"/>
          </w:tcPr>
          <w:p w14:paraId="63480B48" w14:textId="77777777" w:rsidR="00E23F2E" w:rsidRPr="00F66630" w:rsidRDefault="00E23F2E" w:rsidP="004627E0">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629" w:type="pct"/>
            <w:gridSpan w:val="2"/>
            <w:shd w:val="clear" w:color="auto" w:fill="FDE9D9" w:themeFill="accent6" w:themeFillTint="33"/>
          </w:tcPr>
          <w:p w14:paraId="5DE5A338" w14:textId="77777777" w:rsidR="00E23F2E" w:rsidRPr="00F66630" w:rsidRDefault="00E23F2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E23F2E" w:rsidRPr="00F66630" w14:paraId="77C2E312" w14:textId="77777777" w:rsidTr="004627E0">
        <w:tc>
          <w:tcPr>
            <w:tcW w:w="1371" w:type="pct"/>
            <w:gridSpan w:val="2"/>
          </w:tcPr>
          <w:p w14:paraId="7A8C07C2" w14:textId="59E0135A" w:rsidR="00E23F2E" w:rsidRPr="00F66630" w:rsidRDefault="00E91F57" w:rsidP="004627E0">
            <w:pPr>
              <w:ind w:right="90"/>
              <w:rPr>
                <w:rFonts w:ascii="Times New Roman" w:hAnsi="Times New Roman" w:cs="Times New Roman"/>
              </w:rPr>
            </w:pPr>
            <w:r w:rsidRPr="00F66630">
              <w:rPr>
                <w:rFonts w:ascii="Times New Roman" w:hAnsi="Times New Roman" w:cs="Times New Roman"/>
                <w:b/>
                <w:bCs/>
              </w:rPr>
              <w:t xml:space="preserve">11.2 </w:t>
            </w:r>
            <w:r w:rsidR="00E23F2E" w:rsidRPr="00F66630">
              <w:rPr>
                <w:rFonts w:ascii="Times New Roman" w:hAnsi="Times New Roman" w:cs="Times New Roman"/>
                <w:b/>
                <w:bCs/>
              </w:rPr>
              <w:t>No later than June 30, 2021</w:t>
            </w:r>
            <w:r w:rsidR="00E23F2E" w:rsidRPr="00F66630">
              <w:rPr>
                <w:rFonts w:ascii="Times New Roman" w:hAnsi="Times New Roman" w:cs="Times New Roman"/>
              </w:rPr>
              <w:t xml:space="preserve">, the Participating State has issued a regulation prohibiting, on a prospective basis, the contracting of private consultants for the assessment and collection of personal income </w:t>
            </w:r>
            <w:proofErr w:type="gramStart"/>
            <w:r w:rsidR="00E23F2E" w:rsidRPr="00F66630">
              <w:rPr>
                <w:rFonts w:ascii="Times New Roman" w:hAnsi="Times New Roman" w:cs="Times New Roman"/>
              </w:rPr>
              <w:t>tax;</w:t>
            </w:r>
            <w:proofErr w:type="gramEnd"/>
            <w:r w:rsidR="00E23F2E" w:rsidRPr="00F66630">
              <w:rPr>
                <w:rFonts w:ascii="Times New Roman" w:hAnsi="Times New Roman" w:cs="Times New Roman"/>
              </w:rPr>
              <w:t xml:space="preserve"> </w:t>
            </w:r>
          </w:p>
          <w:p w14:paraId="69129330" w14:textId="77777777" w:rsidR="00E23F2E" w:rsidRPr="00F66630" w:rsidRDefault="00E23F2E" w:rsidP="004627E0">
            <w:pPr>
              <w:ind w:right="90"/>
              <w:rPr>
                <w:rFonts w:ascii="Times New Roman" w:hAnsi="Times New Roman" w:cs="Times New Roman"/>
              </w:rPr>
            </w:pPr>
          </w:p>
          <w:p w14:paraId="08A58011" w14:textId="77777777" w:rsidR="00E23F2E" w:rsidRPr="00F66630" w:rsidRDefault="00E23F2E" w:rsidP="004627E0">
            <w:pPr>
              <w:ind w:right="90"/>
              <w:rPr>
                <w:rFonts w:ascii="Times New Roman" w:hAnsi="Times New Roman" w:cs="Times New Roman"/>
              </w:rPr>
            </w:pPr>
            <w:r w:rsidRPr="00F66630">
              <w:rPr>
                <w:rFonts w:ascii="Times New Roman" w:hAnsi="Times New Roman" w:cs="Times New Roman"/>
              </w:rPr>
              <w:t>AND</w:t>
            </w:r>
          </w:p>
          <w:p w14:paraId="502EC7AB" w14:textId="77777777" w:rsidR="00E23F2E" w:rsidRPr="00F66630" w:rsidRDefault="00E23F2E" w:rsidP="004627E0">
            <w:pPr>
              <w:spacing w:after="120"/>
              <w:rPr>
                <w:rFonts w:ascii="Times New Roman" w:hAnsi="Times New Roman" w:cs="Times New Roman"/>
              </w:rPr>
            </w:pPr>
            <w:r w:rsidRPr="00F66630">
              <w:rPr>
                <w:rFonts w:ascii="Times New Roman" w:hAnsi="Times New Roman" w:cs="Times New Roman"/>
              </w:rPr>
              <w:t xml:space="preserve">No such contracts have been entered into or renewed during the period starting on September 1, </w:t>
            </w:r>
            <w:proofErr w:type="gramStart"/>
            <w:r w:rsidRPr="00F66630">
              <w:rPr>
                <w:rFonts w:ascii="Times New Roman" w:hAnsi="Times New Roman" w:cs="Times New Roman"/>
              </w:rPr>
              <w:t>2020</w:t>
            </w:r>
            <w:proofErr w:type="gramEnd"/>
            <w:r w:rsidRPr="00F66630">
              <w:rPr>
                <w:rFonts w:ascii="Times New Roman" w:hAnsi="Times New Roman" w:cs="Times New Roman"/>
              </w:rPr>
              <w:t xml:space="preserve"> through the date of issuance of such regulation.</w:t>
            </w:r>
          </w:p>
        </w:tc>
        <w:tc>
          <w:tcPr>
            <w:tcW w:w="3629" w:type="pct"/>
            <w:gridSpan w:val="2"/>
          </w:tcPr>
          <w:p w14:paraId="2DAECD81" w14:textId="3EC56255" w:rsidR="00E23F2E" w:rsidRPr="00F66630" w:rsidRDefault="00E23F2E" w:rsidP="004627E0">
            <w:pPr>
              <w:spacing w:after="120"/>
              <w:rPr>
                <w:rFonts w:ascii="Times New Roman" w:hAnsi="Times New Roman" w:cs="Times New Roman"/>
                <w:noProof/>
              </w:rPr>
            </w:pPr>
            <w:bookmarkStart w:id="42" w:name="_Hlk75296678"/>
            <w:r w:rsidRPr="00F66630">
              <w:rPr>
                <w:rFonts w:ascii="Times New Roman" w:hAnsi="Times New Roman" w:cs="Times New Roman"/>
                <w:noProof/>
              </w:rPr>
              <w:t>To achieve this DL</w:t>
            </w:r>
            <w:r w:rsidR="00885BC0" w:rsidRPr="00F66630">
              <w:rPr>
                <w:rFonts w:ascii="Times New Roman" w:hAnsi="Times New Roman" w:cs="Times New Roman"/>
                <w:noProof/>
              </w:rPr>
              <w:t>R</w:t>
            </w:r>
            <w:r w:rsidRPr="00F66630">
              <w:rPr>
                <w:rFonts w:ascii="Times New Roman" w:hAnsi="Times New Roman" w:cs="Times New Roman"/>
                <w:noProof/>
              </w:rPr>
              <w:t>, ALL the following need to be achieved:</w:t>
            </w:r>
          </w:p>
          <w:bookmarkEnd w:id="42"/>
          <w:p w14:paraId="097B33D6" w14:textId="13923E2E" w:rsidR="00B460C1" w:rsidRPr="00F66630" w:rsidRDefault="00E23F2E" w:rsidP="00B460C1">
            <w:pPr>
              <w:spacing w:line="256" w:lineRule="auto"/>
              <w:rPr>
                <w:rFonts w:ascii="Times New Roman" w:hAnsi="Times New Roman" w:cs="Times New Roman"/>
                <w:noProof/>
              </w:rPr>
            </w:pPr>
            <w:r w:rsidRPr="00F66630">
              <w:rPr>
                <w:rFonts w:ascii="Times New Roman" w:hAnsi="Times New Roman" w:cs="Times New Roman"/>
                <w:noProof/>
              </w:rPr>
              <w:t xml:space="preserve">1. </w:t>
            </w:r>
            <w:bookmarkStart w:id="43" w:name="_Hlk75296630"/>
            <w:r w:rsidRPr="00F66630">
              <w:rPr>
                <w:rFonts w:ascii="Times New Roman" w:hAnsi="Times New Roman" w:cs="Times New Roman"/>
                <w:noProof/>
              </w:rPr>
              <w:t>Issued a State Regulation that prohibits new contracting of private consultants* for the assessment and collection of Personal Income Tax** by June 30, 2021***</w:t>
            </w:r>
            <w:r w:rsidR="00B460C1" w:rsidRPr="00F66630">
              <w:rPr>
                <w:rFonts w:ascii="Times New Roman" w:hAnsi="Times New Roman" w:cs="Times New Roman"/>
                <w:noProof/>
              </w:rPr>
              <w:t xml:space="preserve"> </w:t>
            </w:r>
            <w:bookmarkEnd w:id="43"/>
            <w:r w:rsidR="007F3EA6" w:rsidRPr="00F66630">
              <w:rPr>
                <w:rFonts w:ascii="Times New Roman" w:hAnsi="Times New Roman" w:cs="Times New Roman"/>
                <w:noProof/>
              </w:rPr>
              <w:t>The State Regulation is issued by the relevant MDA of the State Government, authorized by the State Revenue or connected laws.</w:t>
            </w:r>
          </w:p>
          <w:p w14:paraId="57D3950C" w14:textId="77777777" w:rsidR="00576639" w:rsidRPr="00F66630" w:rsidRDefault="00576639" w:rsidP="003815F3">
            <w:pPr>
              <w:spacing w:line="256" w:lineRule="auto"/>
              <w:rPr>
                <w:rFonts w:ascii="Times New Roman" w:hAnsi="Times New Roman" w:cs="Times New Roman"/>
                <w:noProof/>
              </w:rPr>
            </w:pPr>
          </w:p>
          <w:p w14:paraId="3D66B7E1" w14:textId="7EDBF85A" w:rsidR="003815F3" w:rsidRPr="00F66630" w:rsidRDefault="003815F3" w:rsidP="003815F3">
            <w:pPr>
              <w:spacing w:line="256" w:lineRule="auto"/>
              <w:rPr>
                <w:rFonts w:ascii="Times New Roman" w:hAnsi="Times New Roman" w:cs="Times New Roman"/>
                <w:noProof/>
              </w:rPr>
            </w:pPr>
            <w:r w:rsidRPr="00F66630">
              <w:rPr>
                <w:rFonts w:ascii="Times New Roman" w:hAnsi="Times New Roman" w:cs="Times New Roman"/>
                <w:noProof/>
              </w:rPr>
              <w:t>A model regulation has been provided to States by NGF.</w:t>
            </w:r>
          </w:p>
          <w:p w14:paraId="185BF790" w14:textId="77777777" w:rsidR="00E23F2E" w:rsidRPr="00F66630" w:rsidRDefault="00E23F2E" w:rsidP="004627E0">
            <w:pPr>
              <w:spacing w:line="256" w:lineRule="auto"/>
              <w:rPr>
                <w:rFonts w:ascii="Times New Roman" w:hAnsi="Times New Roman" w:cs="Times New Roman"/>
                <w:noProof/>
              </w:rPr>
            </w:pPr>
          </w:p>
          <w:p w14:paraId="1B34FB86" w14:textId="77777777" w:rsidR="00E23F2E" w:rsidRPr="00F66630" w:rsidRDefault="00E23F2E" w:rsidP="004627E0">
            <w:pPr>
              <w:spacing w:line="256" w:lineRule="auto"/>
              <w:rPr>
                <w:rFonts w:ascii="Times New Roman" w:hAnsi="Times New Roman" w:cs="Times New Roman"/>
                <w:noProof/>
              </w:rPr>
            </w:pPr>
            <w:bookmarkStart w:id="44" w:name="_Hlk75296669"/>
            <w:r w:rsidRPr="00F66630">
              <w:rPr>
                <w:rFonts w:ascii="Times New Roman" w:hAnsi="Times New Roman" w:cs="Times New Roman"/>
                <w:noProof/>
              </w:rPr>
              <w:t>2. State has NOT issued new contracts or renewed contracts**** of any private consultants for the assessment and collection of Personal Income Tax after September 1, 2020 up to the date when the Regulation is issued.</w:t>
            </w:r>
          </w:p>
          <w:bookmarkEnd w:id="44"/>
          <w:p w14:paraId="5AA1FD99" w14:textId="77777777" w:rsidR="00E23F2E" w:rsidRPr="00F66630" w:rsidRDefault="00E23F2E" w:rsidP="004627E0">
            <w:pPr>
              <w:spacing w:line="256" w:lineRule="auto"/>
              <w:rPr>
                <w:rFonts w:ascii="Times New Roman" w:hAnsi="Times New Roman" w:cs="Times New Roman"/>
                <w:noProof/>
              </w:rPr>
            </w:pPr>
            <w:r w:rsidRPr="00F66630">
              <w:rPr>
                <w:rFonts w:ascii="Times New Roman" w:hAnsi="Times New Roman" w:cs="Times New Roman"/>
                <w:noProof/>
              </w:rPr>
              <w:t>​​​​​​​</w:t>
            </w:r>
          </w:p>
          <w:p w14:paraId="138AC016" w14:textId="77777777" w:rsidR="00E23F2E" w:rsidRPr="00F66630" w:rsidRDefault="00E23F2E" w:rsidP="004627E0">
            <w:pPr>
              <w:spacing w:line="256" w:lineRule="auto"/>
              <w:rPr>
                <w:rFonts w:ascii="Times New Roman" w:hAnsi="Times New Roman" w:cs="Times New Roman"/>
                <w:i/>
                <w:iCs/>
                <w:noProof/>
                <w:u w:val="single"/>
              </w:rPr>
            </w:pPr>
            <w:r w:rsidRPr="00F66630">
              <w:rPr>
                <w:rFonts w:ascii="Times New Roman" w:hAnsi="Times New Roman" w:cs="Times New Roman"/>
                <w:i/>
                <w:iCs/>
                <w:noProof/>
                <w:u w:val="single"/>
              </w:rPr>
              <w:t>Definitions</w:t>
            </w:r>
          </w:p>
          <w:p w14:paraId="4CF7B5E0" w14:textId="77777777" w:rsidR="00E23F2E" w:rsidRPr="00F66630" w:rsidRDefault="00E23F2E" w:rsidP="004627E0">
            <w:pPr>
              <w:spacing w:line="256" w:lineRule="auto"/>
              <w:rPr>
                <w:rFonts w:ascii="Times New Roman" w:hAnsi="Times New Roman" w:cs="Times New Roman"/>
                <w:i/>
                <w:iCs/>
                <w:noProof/>
              </w:rPr>
            </w:pPr>
            <w:r w:rsidRPr="00F66630">
              <w:rPr>
                <w:rFonts w:ascii="Times New Roman" w:hAnsi="Times New Roman" w:cs="Times New Roman"/>
                <w:i/>
                <w:iCs/>
                <w:noProof/>
              </w:rPr>
              <w:t>*Term includes agents, consultants</w:t>
            </w:r>
          </w:p>
          <w:p w14:paraId="560940D1" w14:textId="37CF5472" w:rsidR="00E23F2E" w:rsidRPr="00F66630" w:rsidRDefault="00E23F2E" w:rsidP="004627E0">
            <w:pPr>
              <w:spacing w:line="256" w:lineRule="auto"/>
              <w:rPr>
                <w:rFonts w:ascii="Times New Roman" w:hAnsi="Times New Roman" w:cs="Times New Roman"/>
                <w:i/>
                <w:iCs/>
                <w:noProof/>
              </w:rPr>
            </w:pPr>
            <w:r w:rsidRPr="00F66630">
              <w:rPr>
                <w:rFonts w:ascii="Times New Roman" w:hAnsi="Times New Roman" w:cs="Times New Roman"/>
                <w:i/>
                <w:iCs/>
                <w:noProof/>
              </w:rPr>
              <w:t>**This EXCLUDES ancillary services such as IT which can be provided by private agents/consultants</w:t>
            </w:r>
            <w:r w:rsidR="00993894" w:rsidRPr="00F66630">
              <w:rPr>
                <w:rFonts w:ascii="Times New Roman" w:hAnsi="Times New Roman" w:cs="Times New Roman"/>
                <w:i/>
                <w:iCs/>
                <w:noProof/>
              </w:rPr>
              <w:t xml:space="preserve"> and EXCLUDES audit consultants used to establish back duty taxable sums</w:t>
            </w:r>
          </w:p>
          <w:p w14:paraId="3C088817" w14:textId="5E3FE935" w:rsidR="00E23F2E" w:rsidRPr="00F66630" w:rsidRDefault="00E23F2E" w:rsidP="004627E0">
            <w:pPr>
              <w:spacing w:line="256" w:lineRule="auto"/>
              <w:rPr>
                <w:rFonts w:ascii="Times New Roman" w:hAnsi="Times New Roman" w:cs="Times New Roman"/>
                <w:i/>
                <w:iCs/>
                <w:noProof/>
              </w:rPr>
            </w:pPr>
            <w:r w:rsidRPr="00F66630">
              <w:rPr>
                <w:rFonts w:ascii="Times New Roman" w:hAnsi="Times New Roman" w:cs="Times New Roman"/>
                <w:i/>
                <w:iCs/>
                <w:noProof/>
              </w:rPr>
              <w:t>***If the Regulation is achieved by March 31, 2021, the DLI can be verified and disbursed earlier</w:t>
            </w:r>
          </w:p>
          <w:p w14:paraId="3EC3C4C5" w14:textId="77777777" w:rsidR="00E23F2E" w:rsidRPr="00F66630" w:rsidRDefault="00E23F2E" w:rsidP="00423C81">
            <w:pPr>
              <w:spacing w:line="256" w:lineRule="auto"/>
              <w:rPr>
                <w:rFonts w:ascii="Times New Roman" w:hAnsi="Times New Roman" w:cs="Times New Roman"/>
                <w:i/>
                <w:iCs/>
                <w:noProof/>
              </w:rPr>
            </w:pPr>
            <w:bookmarkStart w:id="45" w:name="_Hlk75296689"/>
            <w:r w:rsidRPr="00F66630">
              <w:rPr>
                <w:rFonts w:ascii="Times New Roman" w:hAnsi="Times New Roman" w:cs="Times New Roman"/>
                <w:i/>
                <w:iCs/>
                <w:noProof/>
              </w:rPr>
              <w:t>****This is NOT termination of or breach of existing contracts</w:t>
            </w:r>
          </w:p>
          <w:bookmarkEnd w:id="45"/>
          <w:p w14:paraId="3F35386F" w14:textId="5C3A2C56" w:rsidR="00423C81" w:rsidRPr="00F66630" w:rsidRDefault="00423C81" w:rsidP="00423C81">
            <w:pPr>
              <w:spacing w:line="256" w:lineRule="auto"/>
              <w:rPr>
                <w:rFonts w:ascii="Times New Roman" w:hAnsi="Times New Roman" w:cs="Times New Roman"/>
                <w:i/>
                <w:iCs/>
                <w:noProof/>
              </w:rPr>
            </w:pPr>
          </w:p>
        </w:tc>
      </w:tr>
      <w:tr w:rsidR="00E23F2E" w:rsidRPr="00F66630" w14:paraId="0A82742C" w14:textId="77777777" w:rsidTr="004627E0">
        <w:tc>
          <w:tcPr>
            <w:tcW w:w="5000" w:type="pct"/>
            <w:gridSpan w:val="4"/>
            <w:shd w:val="clear" w:color="auto" w:fill="FDE9D9" w:themeFill="accent6" w:themeFillTint="33"/>
          </w:tcPr>
          <w:p w14:paraId="0A8E2733" w14:textId="77777777" w:rsidR="00E23F2E" w:rsidRPr="00F66630" w:rsidRDefault="00E23F2E" w:rsidP="004627E0">
            <w:pPr>
              <w:rPr>
                <w:rFonts w:ascii="Times New Roman" w:hAnsi="Times New Roman" w:cs="Times New Roman"/>
                <w:b/>
                <w:i/>
              </w:rPr>
            </w:pPr>
            <w:r w:rsidRPr="00F66630">
              <w:rPr>
                <w:rFonts w:ascii="Times New Roman" w:hAnsi="Times New Roman" w:cs="Times New Roman"/>
                <w:b/>
                <w:i/>
              </w:rPr>
              <w:t>Data Source and Procedures to assess achievement</w:t>
            </w:r>
          </w:p>
        </w:tc>
      </w:tr>
      <w:tr w:rsidR="00E23F2E" w:rsidRPr="00F66630" w14:paraId="0FD01675" w14:textId="77777777" w:rsidTr="004627E0">
        <w:tc>
          <w:tcPr>
            <w:tcW w:w="5000" w:type="pct"/>
            <w:gridSpan w:val="4"/>
          </w:tcPr>
          <w:p w14:paraId="49AF68A4" w14:textId="77777777" w:rsidR="00E23F2E" w:rsidRPr="00F66630" w:rsidRDefault="00E23F2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694E3F4E" w14:textId="77777777" w:rsidR="00E23F2E" w:rsidRPr="00F66630" w:rsidRDefault="00E23F2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Ministry of Finance, Budget and Planning, State BIR / IRS</w:t>
            </w:r>
          </w:p>
          <w:p w14:paraId="79DF8A78" w14:textId="77777777" w:rsidR="00E23F2E" w:rsidRPr="00F66630" w:rsidRDefault="00E23F2E" w:rsidP="004627E0">
            <w:pPr>
              <w:pStyle w:val="CommentText"/>
              <w:ind w:left="360"/>
              <w:rPr>
                <w:rFonts w:ascii="Times New Roman" w:hAnsi="Times New Roman" w:cs="Times New Roman"/>
                <w:sz w:val="22"/>
                <w:szCs w:val="22"/>
              </w:rPr>
            </w:pPr>
          </w:p>
        </w:tc>
      </w:tr>
      <w:tr w:rsidR="00E23F2E" w:rsidRPr="00F66630" w14:paraId="330C9567" w14:textId="77777777" w:rsidTr="004627E0">
        <w:tc>
          <w:tcPr>
            <w:tcW w:w="5000" w:type="pct"/>
            <w:gridSpan w:val="4"/>
          </w:tcPr>
          <w:p w14:paraId="3CFA3988" w14:textId="77777777" w:rsidR="00E23F2E" w:rsidRPr="00F66630" w:rsidRDefault="00E23F2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667DE4A1" w14:textId="1778AD6C" w:rsidR="00E23F2E" w:rsidRPr="00F66630" w:rsidRDefault="00E23F2E" w:rsidP="00D20318">
            <w:pPr>
              <w:pStyle w:val="ListParagraph"/>
              <w:numPr>
                <w:ilvl w:val="0"/>
                <w:numId w:val="61"/>
              </w:numPr>
              <w:spacing w:after="120"/>
              <w:rPr>
                <w:rFonts w:ascii="Times New Roman" w:hAnsi="Times New Roman" w:cs="Times New Roman"/>
              </w:rPr>
            </w:pPr>
            <w:r w:rsidRPr="00F66630">
              <w:rPr>
                <w:rFonts w:ascii="Times New Roman" w:hAnsi="Times New Roman" w:cs="Times New Roman"/>
              </w:rPr>
              <w:t>State provides a copy of the State Regulation</w:t>
            </w:r>
          </w:p>
          <w:p w14:paraId="5A73BB34" w14:textId="77777777" w:rsidR="00DA5CFD" w:rsidRPr="00F66630" w:rsidRDefault="00DA5CFD" w:rsidP="00DA5CFD">
            <w:pPr>
              <w:pStyle w:val="ListParagraph"/>
              <w:numPr>
                <w:ilvl w:val="0"/>
                <w:numId w:val="61"/>
              </w:numPr>
              <w:spacing w:after="120"/>
              <w:rPr>
                <w:rFonts w:ascii="Times New Roman" w:hAnsi="Times New Roman" w:cs="Times New Roman"/>
              </w:rPr>
            </w:pPr>
            <w:r w:rsidRPr="00F66630">
              <w:rPr>
                <w:rFonts w:ascii="Times New Roman" w:hAnsi="Times New Roman" w:cs="Times New Roman"/>
              </w:rPr>
              <w:t>IVA to get a copy of the model regulation given to States by NGF</w:t>
            </w:r>
          </w:p>
          <w:p w14:paraId="06B8E69C" w14:textId="77777777" w:rsidR="00E23F2E" w:rsidRPr="00F66630" w:rsidRDefault="00E23F2E" w:rsidP="00D20318">
            <w:pPr>
              <w:pStyle w:val="ListParagraph"/>
              <w:numPr>
                <w:ilvl w:val="0"/>
                <w:numId w:val="61"/>
              </w:numPr>
              <w:spacing w:after="120"/>
              <w:rPr>
                <w:rFonts w:ascii="Times New Roman" w:hAnsi="Times New Roman" w:cs="Times New Roman"/>
              </w:rPr>
            </w:pPr>
            <w:r w:rsidRPr="00F66630">
              <w:rPr>
                <w:rFonts w:ascii="Times New Roman" w:hAnsi="Times New Roman" w:cs="Times New Roman"/>
              </w:rPr>
              <w:t xml:space="preserve">State produces a report with supporting evidence that they have not issued new contracts or renewed contracts of any private consultants for the assessment and collection of </w:t>
            </w:r>
            <w:proofErr w:type="gramStart"/>
            <w:r w:rsidRPr="00F66630">
              <w:rPr>
                <w:rFonts w:ascii="Times New Roman" w:hAnsi="Times New Roman" w:cs="Times New Roman"/>
              </w:rPr>
              <w:t>PIT</w:t>
            </w:r>
            <w:proofErr w:type="gramEnd"/>
          </w:p>
          <w:p w14:paraId="7E739448" w14:textId="77777777" w:rsidR="00E23F2E" w:rsidRPr="00F66630" w:rsidRDefault="00E23F2E" w:rsidP="00D20318">
            <w:pPr>
              <w:pStyle w:val="ListParagraph"/>
              <w:numPr>
                <w:ilvl w:val="0"/>
                <w:numId w:val="61"/>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p>
        </w:tc>
      </w:tr>
    </w:tbl>
    <w:p w14:paraId="219A25EC" w14:textId="31AD88E1" w:rsidR="00597C63" w:rsidRPr="00F66630" w:rsidRDefault="00597C63" w:rsidP="00197EA1">
      <w:pPr>
        <w:rPr>
          <w:rFonts w:ascii="Times New Roman" w:eastAsia="Times New Roman" w:hAnsi="Times New Roman" w:cs="Times New Roman"/>
          <w:b/>
          <w:spacing w:val="4"/>
          <w:sz w:val="20"/>
          <w:szCs w:val="20"/>
        </w:rPr>
      </w:pPr>
    </w:p>
    <w:tbl>
      <w:tblPr>
        <w:tblStyle w:val="TableGrid"/>
        <w:tblW w:w="5315" w:type="pct"/>
        <w:tblLook w:val="04A0" w:firstRow="1" w:lastRow="0" w:firstColumn="1" w:lastColumn="0" w:noHBand="0" w:noVBand="1"/>
      </w:tblPr>
      <w:tblGrid>
        <w:gridCol w:w="2695"/>
        <w:gridCol w:w="11071"/>
      </w:tblGrid>
      <w:tr w:rsidR="00DA7726" w:rsidRPr="00F66630" w14:paraId="3F897F37" w14:textId="77777777" w:rsidTr="00423C81">
        <w:trPr>
          <w:trHeight w:val="980"/>
        </w:trPr>
        <w:tc>
          <w:tcPr>
            <w:tcW w:w="5000" w:type="pct"/>
            <w:gridSpan w:val="2"/>
            <w:shd w:val="clear" w:color="auto" w:fill="EAF1DD" w:themeFill="accent3" w:themeFillTint="33"/>
          </w:tcPr>
          <w:p w14:paraId="0E24D066" w14:textId="23591EFA" w:rsidR="003B3DE2" w:rsidRPr="00F66630" w:rsidRDefault="003B3DE2" w:rsidP="00C93D2C">
            <w:pPr>
              <w:rPr>
                <w:rFonts w:cs="Times New Roman"/>
                <w:bCs/>
              </w:rPr>
            </w:pPr>
            <w:r w:rsidRPr="00F66630">
              <w:rPr>
                <w:rFonts w:ascii="Times New Roman" w:hAnsi="Times New Roman"/>
                <w:b/>
                <w:bCs/>
              </w:rPr>
              <w:lastRenderedPageBreak/>
              <w:t>DLI 11:</w:t>
            </w:r>
            <w:r w:rsidR="000D3017" w:rsidRPr="00F66630">
              <w:t xml:space="preserve"> </w:t>
            </w:r>
            <w:r w:rsidRPr="00F66630">
              <w:rPr>
                <w:rFonts w:ascii="Times New Roman" w:hAnsi="Times New Roman"/>
                <w:b/>
                <w:bCs/>
              </w:rPr>
              <w:t>Provided structured tax relief in response to COVID-19 and strengthened tax administration (personal income tax and property taxation) to enhance non-oil tax collection in the resilient recovery phase</w:t>
            </w:r>
          </w:p>
          <w:p w14:paraId="2F573498" w14:textId="54E276D6" w:rsidR="00DA7726" w:rsidRPr="00F66630" w:rsidRDefault="003B3DE2" w:rsidP="00C93D2C">
            <w:pPr>
              <w:pStyle w:val="Heading3"/>
              <w:numPr>
                <w:ilvl w:val="0"/>
                <w:numId w:val="0"/>
              </w:numPr>
              <w:outlineLvl w:val="2"/>
              <w:rPr>
                <w:rFonts w:cs="Times New Roman"/>
                <w:bCs w:val="0"/>
                <w:i/>
                <w:iCs/>
                <w:sz w:val="22"/>
                <w:szCs w:val="22"/>
              </w:rPr>
            </w:pPr>
            <w:bookmarkStart w:id="46" w:name="_Toc107345863"/>
            <w:r w:rsidRPr="00F66630">
              <w:rPr>
                <w:rFonts w:cs="Times New Roman"/>
                <w:bCs w:val="0"/>
                <w:i/>
                <w:iCs/>
                <w:sz w:val="22"/>
                <w:szCs w:val="22"/>
              </w:rPr>
              <w:t>DLR 11.3</w:t>
            </w:r>
            <w:r w:rsidR="00B7184F" w:rsidRPr="00F66630">
              <w:rPr>
                <w:rFonts w:cs="Times New Roman"/>
                <w:bCs w:val="0"/>
                <w:i/>
                <w:iCs/>
                <w:sz w:val="22"/>
                <w:szCs w:val="22"/>
              </w:rPr>
              <w:t>: Strengthened the foundation for state property taxation by updating property records in urban areas</w:t>
            </w:r>
            <w:bookmarkEnd w:id="46"/>
          </w:p>
        </w:tc>
      </w:tr>
      <w:tr w:rsidR="00DA7726" w:rsidRPr="00F66630" w14:paraId="61ED1D13" w14:textId="77777777" w:rsidTr="00423C81">
        <w:trPr>
          <w:trHeight w:val="470"/>
        </w:trPr>
        <w:tc>
          <w:tcPr>
            <w:tcW w:w="979" w:type="pct"/>
            <w:shd w:val="clear" w:color="auto" w:fill="FDE9D9" w:themeFill="accent6" w:themeFillTint="33"/>
          </w:tcPr>
          <w:p w14:paraId="18E22C36" w14:textId="77777777" w:rsidR="00DA7726" w:rsidRPr="00F66630" w:rsidRDefault="00DA7726" w:rsidP="00C50865">
            <w:pPr>
              <w:rPr>
                <w:rFonts w:ascii="Times New Roman" w:hAnsi="Times New Roman" w:cs="Times New Roman"/>
                <w:b/>
                <w:i/>
              </w:rPr>
            </w:pPr>
            <w:r w:rsidRPr="00F66630">
              <w:rPr>
                <w:rFonts w:ascii="Times New Roman" w:hAnsi="Times New Roman" w:cs="Times New Roman"/>
                <w:b/>
                <w:i/>
              </w:rPr>
              <w:t>DLR description as per DLI Matrix</w:t>
            </w:r>
          </w:p>
        </w:tc>
        <w:tc>
          <w:tcPr>
            <w:tcW w:w="4021" w:type="pct"/>
            <w:shd w:val="clear" w:color="auto" w:fill="FDE9D9" w:themeFill="accent6" w:themeFillTint="33"/>
          </w:tcPr>
          <w:p w14:paraId="37C6D52E" w14:textId="77777777" w:rsidR="00DA7726" w:rsidRPr="00F66630" w:rsidRDefault="00DA7726" w:rsidP="00C50865">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DA7726" w:rsidRPr="00F66630" w14:paraId="7DD5F4C5" w14:textId="77777777" w:rsidTr="00C97721">
        <w:trPr>
          <w:trHeight w:val="350"/>
        </w:trPr>
        <w:tc>
          <w:tcPr>
            <w:tcW w:w="979" w:type="pct"/>
          </w:tcPr>
          <w:p w14:paraId="60815A29" w14:textId="7B31F0D3" w:rsidR="00DA7726" w:rsidRPr="00F66630" w:rsidRDefault="00E91F57" w:rsidP="00C50865">
            <w:pPr>
              <w:spacing w:after="120"/>
              <w:rPr>
                <w:rFonts w:ascii="Times New Roman" w:hAnsi="Times New Roman" w:cs="Times New Roman"/>
              </w:rPr>
            </w:pPr>
            <w:r w:rsidRPr="00F66630">
              <w:rPr>
                <w:rFonts w:ascii="Times New Roman" w:hAnsi="Times New Roman" w:cs="Times New Roman"/>
                <w:b/>
                <w:bCs/>
              </w:rPr>
              <w:t xml:space="preserve">11.3 </w:t>
            </w:r>
            <w:r w:rsidR="00184CCD" w:rsidRPr="00184CCD">
              <w:rPr>
                <w:rFonts w:ascii="Times New Roman" w:hAnsi="Times New Roman" w:cs="Times New Roman"/>
                <w:b/>
                <w:bCs/>
              </w:rPr>
              <w:t xml:space="preserve">No later than June 30, 2022, </w:t>
            </w:r>
            <w:r w:rsidR="00184CCD" w:rsidRPr="00232545">
              <w:rPr>
                <w:rFonts w:ascii="Times New Roman" w:hAnsi="Times New Roman" w:cs="Times New Roman"/>
              </w:rPr>
              <w:t xml:space="preserve">the property records for </w:t>
            </w:r>
            <w:r w:rsidR="00184CCD" w:rsidRPr="00232545">
              <w:rPr>
                <w:rFonts w:ascii="Times New Roman" w:hAnsi="Times New Roman" w:cs="Times New Roman"/>
                <w:highlight w:val="yellow"/>
              </w:rPr>
              <w:t>at least 20% (basic) or 50% (stretch)</w:t>
            </w:r>
            <w:r w:rsidR="00184CCD" w:rsidRPr="00232545">
              <w:rPr>
                <w:rFonts w:ascii="Times New Roman" w:hAnsi="Times New Roman" w:cs="Times New Roman"/>
              </w:rPr>
              <w:t xml:space="preserve"> of properties that have electricity connections in Urban Areas in the Participating State have been completed or updated per criteria set out in the Verification Protocol</w:t>
            </w:r>
            <w:r w:rsidR="009448BB">
              <w:rPr>
                <w:rFonts w:ascii="Times New Roman" w:hAnsi="Times New Roman" w:cs="Times New Roman"/>
              </w:rPr>
              <w:t xml:space="preserve">; </w:t>
            </w:r>
            <w:r w:rsidR="00184CCD" w:rsidRPr="00061DB2">
              <w:rPr>
                <w:rFonts w:ascii="Times New Roman" w:hAnsi="Times New Roman" w:cs="Times New Roman"/>
              </w:rPr>
              <w:t xml:space="preserve">  stored in an electronic database</w:t>
            </w:r>
            <w:r w:rsidR="009448BB">
              <w:rPr>
                <w:rFonts w:ascii="Times New Roman" w:hAnsi="Times New Roman" w:cs="Times New Roman"/>
              </w:rPr>
              <w:t>;</w:t>
            </w:r>
            <w:r w:rsidR="00184CCD" w:rsidRPr="00232545">
              <w:rPr>
                <w:rFonts w:ascii="Times New Roman" w:hAnsi="Times New Roman" w:cs="Times New Roman"/>
              </w:rPr>
              <w:t xml:space="preserve"> with said records to be valid as on September 1, 2020 or later; and the Participating State has established institutional arrangements per criteria set out in the Verification Protocol to use the property records to improve or start  the collection of property tax.</w:t>
            </w:r>
          </w:p>
        </w:tc>
        <w:tc>
          <w:tcPr>
            <w:tcW w:w="4021" w:type="pct"/>
          </w:tcPr>
          <w:p w14:paraId="16DCCF7A" w14:textId="641F5682" w:rsidR="0085459D" w:rsidRPr="00F66630" w:rsidRDefault="00597C63" w:rsidP="00587F54">
            <w:pPr>
              <w:spacing w:after="120"/>
              <w:rPr>
                <w:rFonts w:ascii="Times New Roman" w:hAnsi="Times New Roman" w:cs="Times New Roman"/>
                <w:noProof/>
              </w:rPr>
            </w:pPr>
            <w:r w:rsidRPr="00F66630">
              <w:rPr>
                <w:rFonts w:ascii="Times New Roman" w:hAnsi="Times New Roman" w:cs="Times New Roman"/>
                <w:noProof/>
              </w:rPr>
              <w:t>To achieve this DL</w:t>
            </w:r>
            <w:r w:rsidR="00885BC0" w:rsidRPr="00F66630">
              <w:rPr>
                <w:rFonts w:ascii="Times New Roman" w:hAnsi="Times New Roman" w:cs="Times New Roman"/>
                <w:noProof/>
              </w:rPr>
              <w:t>R</w:t>
            </w:r>
            <w:r w:rsidRPr="00F66630">
              <w:rPr>
                <w:rFonts w:ascii="Times New Roman" w:hAnsi="Times New Roman" w:cs="Times New Roman"/>
                <w:noProof/>
              </w:rPr>
              <w:t>, ALL the following need to be achieved</w:t>
            </w:r>
            <w:r w:rsidR="006F3B65" w:rsidRPr="00F66630">
              <w:rPr>
                <w:rFonts w:ascii="Times New Roman" w:hAnsi="Times New Roman" w:cs="Times New Roman"/>
                <w:noProof/>
              </w:rPr>
              <w:t xml:space="preserve"> by </w:t>
            </w:r>
            <w:r w:rsidR="009879D9" w:rsidRPr="00F66630">
              <w:rPr>
                <w:rFonts w:ascii="Times New Roman" w:hAnsi="Times New Roman" w:cs="Times New Roman"/>
                <w:noProof/>
              </w:rPr>
              <w:t>June 30, 2022</w:t>
            </w:r>
            <w:r w:rsidRPr="00F66630">
              <w:rPr>
                <w:rFonts w:ascii="Times New Roman" w:hAnsi="Times New Roman" w:cs="Times New Roman"/>
                <w:noProof/>
              </w:rPr>
              <w:t>:</w:t>
            </w:r>
          </w:p>
          <w:p w14:paraId="12AFFD47" w14:textId="43590C94" w:rsidR="00587F54" w:rsidRPr="00F66630" w:rsidRDefault="0085459D" w:rsidP="00587F54">
            <w:pPr>
              <w:rPr>
                <w:rFonts w:ascii="Times New Roman" w:hAnsi="Times New Roman" w:cs="Times New Roman"/>
                <w:noProof/>
              </w:rPr>
            </w:pPr>
            <w:r w:rsidRPr="00F66630">
              <w:rPr>
                <w:rFonts w:ascii="Times New Roman" w:hAnsi="Times New Roman" w:cs="Times New Roman"/>
                <w:noProof/>
              </w:rPr>
              <w:t xml:space="preserve">1. </w:t>
            </w:r>
            <w:r w:rsidR="006D6C74" w:rsidRPr="00F66630">
              <w:rPr>
                <w:rFonts w:ascii="Times New Roman" w:hAnsi="Times New Roman" w:cs="Times New Roman"/>
                <w:noProof/>
              </w:rPr>
              <w:t>Completed or updated property records of at least</w:t>
            </w:r>
            <w:r w:rsidR="00C03C4C">
              <w:rPr>
                <w:rFonts w:ascii="Times New Roman" w:hAnsi="Times New Roman" w:cs="Times New Roman"/>
                <w:noProof/>
              </w:rPr>
              <w:t xml:space="preserve"> </w:t>
            </w:r>
            <w:r w:rsidR="00C03C4C" w:rsidRPr="00966CC1">
              <w:rPr>
                <w:rFonts w:ascii="Times New Roman" w:hAnsi="Times New Roman" w:cs="Times New Roman"/>
                <w:highlight w:val="yellow"/>
              </w:rPr>
              <w:t>20% (basic) or 50% (stretch)</w:t>
            </w:r>
            <w:r w:rsidR="00C03C4C">
              <w:rPr>
                <w:rFonts w:ascii="Times New Roman" w:hAnsi="Times New Roman" w:cs="Times New Roman"/>
              </w:rPr>
              <w:t xml:space="preserve"> </w:t>
            </w:r>
            <w:r w:rsidR="006D6C74" w:rsidRPr="00F66630">
              <w:rPr>
                <w:rFonts w:ascii="Times New Roman" w:hAnsi="Times New Roman" w:cs="Times New Roman"/>
                <w:noProof/>
              </w:rPr>
              <w:t>of all properties that have electricity connections in urban areas</w:t>
            </w:r>
            <w:r w:rsidR="00B42FD2" w:rsidRPr="00F66630">
              <w:rPr>
                <w:rFonts w:ascii="Times New Roman" w:hAnsi="Times New Roman" w:cs="Times New Roman"/>
                <w:noProof/>
              </w:rPr>
              <w:t>*</w:t>
            </w:r>
            <w:r w:rsidR="00423C81" w:rsidRPr="00F66630">
              <w:rPr>
                <w:rFonts w:ascii="Times New Roman" w:hAnsi="Times New Roman" w:cs="Times New Roman"/>
                <w:noProof/>
              </w:rPr>
              <w:t>.</w:t>
            </w:r>
          </w:p>
          <w:p w14:paraId="551E45D3" w14:textId="77777777" w:rsidR="00BA2D66" w:rsidRPr="00F66630" w:rsidRDefault="00BA2D66" w:rsidP="00587F54">
            <w:pPr>
              <w:rPr>
                <w:rFonts w:ascii="Times New Roman" w:hAnsi="Times New Roman" w:cs="Times New Roman"/>
                <w:noProof/>
              </w:rPr>
            </w:pPr>
          </w:p>
          <w:p w14:paraId="66C2E4C2" w14:textId="1E9F020C" w:rsidR="006D6C74" w:rsidRPr="00F66630" w:rsidRDefault="00423C81" w:rsidP="00587F54">
            <w:pPr>
              <w:rPr>
                <w:rFonts w:ascii="Times New Roman" w:hAnsi="Times New Roman" w:cs="Times New Roman"/>
                <w:noProof/>
              </w:rPr>
            </w:pPr>
            <w:r w:rsidRPr="00F66630">
              <w:rPr>
                <w:rFonts w:ascii="Times New Roman" w:hAnsi="Times New Roman" w:cs="Times New Roman"/>
                <w:noProof/>
              </w:rPr>
              <w:t xml:space="preserve">(i) </w:t>
            </w:r>
            <w:r w:rsidR="006D6C74" w:rsidRPr="00F66630">
              <w:rPr>
                <w:rFonts w:ascii="Times New Roman" w:hAnsi="Times New Roman" w:cs="Times New Roman"/>
                <w:noProof/>
              </w:rPr>
              <w:t xml:space="preserve">To fulfil the criterion “Complete or update property records” the following </w:t>
            </w:r>
            <w:r w:rsidR="006D6C74" w:rsidRPr="00F66630">
              <w:rPr>
                <w:rFonts w:ascii="Times New Roman" w:hAnsi="Times New Roman" w:cs="Times New Roman"/>
                <w:i/>
                <w:iCs/>
                <w:noProof/>
              </w:rPr>
              <w:t>minimum</w:t>
            </w:r>
            <w:r w:rsidR="006D6C74" w:rsidRPr="00F66630">
              <w:rPr>
                <w:rFonts w:ascii="Times New Roman" w:hAnsi="Times New Roman" w:cs="Times New Roman"/>
                <w:noProof/>
              </w:rPr>
              <w:t xml:space="preserve"> information is needed for each property: </w:t>
            </w:r>
          </w:p>
          <w:p w14:paraId="7E9F77B6" w14:textId="17CAF169" w:rsidR="00F951F4" w:rsidRPr="00F66630" w:rsidRDefault="00844C5C" w:rsidP="00587F54">
            <w:pPr>
              <w:widowControl w:val="0"/>
              <w:numPr>
                <w:ilvl w:val="0"/>
                <w:numId w:val="71"/>
              </w:numPr>
              <w:autoSpaceDE w:val="0"/>
              <w:autoSpaceDN w:val="0"/>
              <w:adjustRightInd w:val="0"/>
              <w:rPr>
                <w:rFonts w:ascii="Times New Roman" w:hAnsi="Times New Roman" w:cs="Times New Roman"/>
                <w:noProof/>
              </w:rPr>
            </w:pPr>
            <w:r w:rsidRPr="00F66630">
              <w:rPr>
                <w:rFonts w:ascii="Times New Roman" w:hAnsi="Times New Roman" w:cs="Times New Roman"/>
                <w:noProof/>
              </w:rPr>
              <w:t>The s</w:t>
            </w:r>
            <w:r w:rsidR="006D6C74" w:rsidRPr="00F66630">
              <w:rPr>
                <w:rFonts w:ascii="Times New Roman" w:hAnsi="Times New Roman" w:cs="Times New Roman"/>
                <w:noProof/>
              </w:rPr>
              <w:t>ize of the land parcel</w:t>
            </w:r>
            <w:r w:rsidR="009879D9" w:rsidRPr="00F66630">
              <w:rPr>
                <w:rFonts w:ascii="Times New Roman" w:hAnsi="Times New Roman" w:cs="Times New Roman"/>
                <w:noProof/>
              </w:rPr>
              <w:t xml:space="preserve"> as documented by a polygon on a map</w:t>
            </w:r>
          </w:p>
          <w:p w14:paraId="610DA594" w14:textId="131CE96C" w:rsidR="006D6C74" w:rsidRPr="00F66630" w:rsidRDefault="00844C5C" w:rsidP="00587F54">
            <w:pPr>
              <w:widowControl w:val="0"/>
              <w:numPr>
                <w:ilvl w:val="0"/>
                <w:numId w:val="71"/>
              </w:numPr>
              <w:autoSpaceDE w:val="0"/>
              <w:autoSpaceDN w:val="0"/>
              <w:adjustRightInd w:val="0"/>
              <w:rPr>
                <w:rFonts w:ascii="Times New Roman" w:hAnsi="Times New Roman" w:cs="Times New Roman"/>
                <w:noProof/>
              </w:rPr>
            </w:pPr>
            <w:r w:rsidRPr="00F66630">
              <w:rPr>
                <w:rFonts w:ascii="Times New Roman" w:hAnsi="Times New Roman" w:cs="Times New Roman"/>
                <w:noProof/>
              </w:rPr>
              <w:t>The n</w:t>
            </w:r>
            <w:r w:rsidR="001C1889" w:rsidRPr="00F66630">
              <w:rPr>
                <w:rFonts w:ascii="Times New Roman" w:hAnsi="Times New Roman" w:cs="Times New Roman"/>
                <w:noProof/>
              </w:rPr>
              <w:t>umber of structures</w:t>
            </w:r>
            <w:r w:rsidRPr="00F66630">
              <w:rPr>
                <w:rFonts w:ascii="Times New Roman" w:hAnsi="Times New Roman" w:cs="Times New Roman"/>
                <w:noProof/>
              </w:rPr>
              <w:t xml:space="preserve"> and number of occupancy units</w:t>
            </w:r>
            <w:r w:rsidR="00F951F4" w:rsidRPr="00F66630">
              <w:rPr>
                <w:rFonts w:ascii="Times New Roman" w:hAnsi="Times New Roman" w:cs="Times New Roman"/>
                <w:noProof/>
              </w:rPr>
              <w:t xml:space="preserve"> within the property</w:t>
            </w:r>
            <w:r w:rsidR="001C1889" w:rsidRPr="00F66630">
              <w:rPr>
                <w:rFonts w:ascii="Times New Roman" w:hAnsi="Times New Roman" w:cs="Times New Roman"/>
                <w:noProof/>
              </w:rPr>
              <w:t xml:space="preserve"> </w:t>
            </w:r>
          </w:p>
          <w:p w14:paraId="6395FC59" w14:textId="6066FD00" w:rsidR="006D6C74" w:rsidRPr="00F66630" w:rsidRDefault="00F951F4" w:rsidP="00587F54">
            <w:pPr>
              <w:widowControl w:val="0"/>
              <w:numPr>
                <w:ilvl w:val="0"/>
                <w:numId w:val="71"/>
              </w:numPr>
              <w:autoSpaceDE w:val="0"/>
              <w:autoSpaceDN w:val="0"/>
              <w:adjustRightInd w:val="0"/>
              <w:rPr>
                <w:rFonts w:ascii="Times New Roman" w:hAnsi="Times New Roman" w:cs="Times New Roman"/>
                <w:noProof/>
              </w:rPr>
            </w:pPr>
            <w:r w:rsidRPr="00F66630">
              <w:rPr>
                <w:rFonts w:ascii="Times New Roman" w:hAnsi="Times New Roman" w:cs="Times New Roman"/>
                <w:noProof/>
              </w:rPr>
              <w:t xml:space="preserve">The size of </w:t>
            </w:r>
            <w:r w:rsidR="001C1889" w:rsidRPr="00F66630">
              <w:rPr>
                <w:rFonts w:ascii="Times New Roman" w:hAnsi="Times New Roman" w:cs="Times New Roman"/>
                <w:noProof/>
              </w:rPr>
              <w:t xml:space="preserve">each structure </w:t>
            </w:r>
            <w:r w:rsidR="00844C5C" w:rsidRPr="00F66630">
              <w:rPr>
                <w:rFonts w:ascii="Times New Roman" w:hAnsi="Times New Roman" w:cs="Times New Roman"/>
                <w:noProof/>
              </w:rPr>
              <w:t>and</w:t>
            </w:r>
            <w:r w:rsidR="001C1889" w:rsidRPr="00F66630">
              <w:rPr>
                <w:rFonts w:ascii="Times New Roman" w:hAnsi="Times New Roman" w:cs="Times New Roman"/>
                <w:noProof/>
              </w:rPr>
              <w:t xml:space="preserve"> occu</w:t>
            </w:r>
            <w:r w:rsidRPr="00F66630">
              <w:rPr>
                <w:rFonts w:ascii="Times New Roman" w:hAnsi="Times New Roman" w:cs="Times New Roman"/>
                <w:noProof/>
              </w:rPr>
              <w:t>p</w:t>
            </w:r>
            <w:r w:rsidR="001C1889" w:rsidRPr="00F66630">
              <w:rPr>
                <w:rFonts w:ascii="Times New Roman" w:hAnsi="Times New Roman" w:cs="Times New Roman"/>
                <w:noProof/>
              </w:rPr>
              <w:t>ancy unit</w:t>
            </w:r>
            <w:r w:rsidRPr="00F66630">
              <w:rPr>
                <w:rFonts w:ascii="Times New Roman" w:hAnsi="Times New Roman" w:cs="Times New Roman"/>
                <w:noProof/>
              </w:rPr>
              <w:t xml:space="preserve"> on the property</w:t>
            </w:r>
          </w:p>
          <w:p w14:paraId="0BFEDD85" w14:textId="348BCF27" w:rsidR="006D6C74" w:rsidRPr="00F66630" w:rsidRDefault="00844C5C" w:rsidP="00587F54">
            <w:pPr>
              <w:widowControl w:val="0"/>
              <w:numPr>
                <w:ilvl w:val="0"/>
                <w:numId w:val="71"/>
              </w:numPr>
              <w:autoSpaceDE w:val="0"/>
              <w:autoSpaceDN w:val="0"/>
              <w:adjustRightInd w:val="0"/>
              <w:rPr>
                <w:rFonts w:ascii="Times New Roman" w:hAnsi="Times New Roman" w:cs="Times New Roman"/>
                <w:noProof/>
              </w:rPr>
            </w:pPr>
            <w:r w:rsidRPr="00F66630">
              <w:rPr>
                <w:rFonts w:ascii="Times New Roman" w:hAnsi="Times New Roman" w:cs="Times New Roman"/>
                <w:noProof/>
              </w:rPr>
              <w:t>The u</w:t>
            </w:r>
            <w:r w:rsidR="006D6C74" w:rsidRPr="00F66630">
              <w:rPr>
                <w:rFonts w:ascii="Times New Roman" w:hAnsi="Times New Roman" w:cs="Times New Roman"/>
                <w:noProof/>
              </w:rPr>
              <w:t xml:space="preserve">se of </w:t>
            </w:r>
            <w:r w:rsidR="0007358B" w:rsidRPr="00F66630">
              <w:rPr>
                <w:rFonts w:ascii="Times New Roman" w:hAnsi="Times New Roman" w:cs="Times New Roman"/>
                <w:noProof/>
              </w:rPr>
              <w:t>each structure</w:t>
            </w:r>
            <w:r w:rsidR="001907D1" w:rsidRPr="00F66630">
              <w:rPr>
                <w:rFonts w:ascii="Times New Roman" w:hAnsi="Times New Roman" w:cs="Times New Roman"/>
                <w:noProof/>
              </w:rPr>
              <w:t xml:space="preserve"> and </w:t>
            </w:r>
            <w:r w:rsidRPr="00F66630">
              <w:rPr>
                <w:rFonts w:ascii="Times New Roman" w:hAnsi="Times New Roman" w:cs="Times New Roman"/>
                <w:noProof/>
              </w:rPr>
              <w:t xml:space="preserve">occupancy </w:t>
            </w:r>
            <w:r w:rsidR="0007358B" w:rsidRPr="00F66630">
              <w:rPr>
                <w:rFonts w:ascii="Times New Roman" w:hAnsi="Times New Roman" w:cs="Times New Roman"/>
                <w:noProof/>
              </w:rPr>
              <w:t xml:space="preserve">unit on </w:t>
            </w:r>
            <w:r w:rsidR="006D6C74" w:rsidRPr="00F66630">
              <w:rPr>
                <w:rFonts w:ascii="Times New Roman" w:hAnsi="Times New Roman" w:cs="Times New Roman"/>
                <w:noProof/>
              </w:rPr>
              <w:t>the property</w:t>
            </w:r>
            <w:r w:rsidR="0007358B" w:rsidRPr="00F66630">
              <w:rPr>
                <w:rFonts w:ascii="Times New Roman" w:hAnsi="Times New Roman" w:cs="Times New Roman"/>
                <w:noProof/>
              </w:rPr>
              <w:t xml:space="preserve"> </w:t>
            </w:r>
            <w:r w:rsidR="009879D9" w:rsidRPr="00F66630">
              <w:rPr>
                <w:rFonts w:ascii="Times New Roman" w:hAnsi="Times New Roman" w:cs="Times New Roman"/>
                <w:noProof/>
              </w:rPr>
              <w:t>and details needed to compute property tax liability as per applicable state legislation.</w:t>
            </w:r>
            <w:r w:rsidR="009879D9" w:rsidRPr="00F66630">
              <w:rPr>
                <w:rStyle w:val="FootnoteReference"/>
                <w:rFonts w:ascii="Times New Roman" w:hAnsi="Times New Roman" w:cs="Times New Roman"/>
                <w:noProof/>
              </w:rPr>
              <w:footnoteReference w:id="3"/>
            </w:r>
          </w:p>
          <w:p w14:paraId="3854A44E" w14:textId="6FBB60A0" w:rsidR="0058347A" w:rsidRPr="00F66630" w:rsidRDefault="00844C5C" w:rsidP="009879D9">
            <w:pPr>
              <w:widowControl w:val="0"/>
              <w:numPr>
                <w:ilvl w:val="0"/>
                <w:numId w:val="71"/>
              </w:numPr>
              <w:autoSpaceDE w:val="0"/>
              <w:autoSpaceDN w:val="0"/>
              <w:adjustRightInd w:val="0"/>
              <w:rPr>
                <w:rFonts w:ascii="Times New Roman" w:hAnsi="Times New Roman" w:cs="Times New Roman"/>
                <w:noProof/>
              </w:rPr>
            </w:pPr>
            <w:r w:rsidRPr="00F66630">
              <w:rPr>
                <w:rFonts w:ascii="Times New Roman" w:hAnsi="Times New Roman" w:cs="Times New Roman"/>
                <w:noProof/>
              </w:rPr>
              <w:t>The name, ID (individual or firm tax ID) and contact details for the owner of the parcel and the owner or occupier of each structure or, in case of multi-occupancy units, each unit.</w:t>
            </w:r>
            <w:r w:rsidR="006D6C74" w:rsidRPr="00F66630">
              <w:rPr>
                <w:rFonts w:ascii="Times New Roman" w:hAnsi="Times New Roman" w:cs="Times New Roman"/>
                <w:noProof/>
              </w:rPr>
              <w:t xml:space="preserve"> </w:t>
            </w:r>
          </w:p>
          <w:p w14:paraId="3BEF2267" w14:textId="77777777" w:rsidR="00BA2D66" w:rsidRPr="00F66630" w:rsidRDefault="00BA2D66" w:rsidP="00587F54">
            <w:pPr>
              <w:rPr>
                <w:rFonts w:ascii="Times New Roman" w:hAnsi="Times New Roman" w:cs="Times New Roman"/>
                <w:noProof/>
              </w:rPr>
            </w:pPr>
          </w:p>
          <w:p w14:paraId="5179B456" w14:textId="70A49BB4" w:rsidR="006A722F" w:rsidRPr="00F66630" w:rsidRDefault="00423C81" w:rsidP="00587F54">
            <w:pPr>
              <w:rPr>
                <w:rFonts w:ascii="Times New Roman" w:hAnsi="Times New Roman" w:cs="Times New Roman"/>
                <w:noProof/>
              </w:rPr>
            </w:pPr>
            <w:r w:rsidRPr="00F66630">
              <w:rPr>
                <w:rFonts w:ascii="Times New Roman" w:hAnsi="Times New Roman" w:cs="Times New Roman"/>
                <w:noProof/>
              </w:rPr>
              <w:t xml:space="preserve">(ii) </w:t>
            </w:r>
            <w:r w:rsidR="006A722F" w:rsidRPr="00F66630">
              <w:rPr>
                <w:rFonts w:ascii="Times New Roman" w:hAnsi="Times New Roman" w:cs="Times New Roman"/>
                <w:noProof/>
              </w:rPr>
              <w:t>T</w:t>
            </w:r>
            <w:r w:rsidR="009448BB">
              <w:rPr>
                <w:rFonts w:ascii="Times New Roman" w:hAnsi="Times New Roman" w:cs="Times New Roman"/>
                <w:noProof/>
              </w:rPr>
              <w:t>he</w:t>
            </w:r>
            <w:r w:rsidR="006A722F" w:rsidRPr="00F66630">
              <w:rPr>
                <w:rFonts w:ascii="Times New Roman" w:hAnsi="Times New Roman" w:cs="Times New Roman"/>
                <w:noProof/>
              </w:rPr>
              <w:t xml:space="preserve"> property information </w:t>
            </w:r>
            <w:r w:rsidR="00933D5A" w:rsidRPr="00F66630">
              <w:rPr>
                <w:rFonts w:ascii="Times New Roman" w:hAnsi="Times New Roman" w:cs="Times New Roman"/>
                <w:noProof/>
              </w:rPr>
              <w:t xml:space="preserve">is </w:t>
            </w:r>
            <w:r w:rsidR="006A722F" w:rsidRPr="00F66630">
              <w:rPr>
                <w:rFonts w:ascii="Times New Roman" w:hAnsi="Times New Roman" w:cs="Times New Roman"/>
                <w:noProof/>
              </w:rPr>
              <w:t>to be valid as o</w:t>
            </w:r>
            <w:r w:rsidR="00912FF7">
              <w:rPr>
                <w:rFonts w:ascii="Times New Roman" w:hAnsi="Times New Roman" w:cs="Times New Roman"/>
                <w:noProof/>
              </w:rPr>
              <w:t>f</w:t>
            </w:r>
            <w:r w:rsidR="006A722F" w:rsidRPr="00F66630">
              <w:rPr>
                <w:rFonts w:ascii="Times New Roman" w:hAnsi="Times New Roman" w:cs="Times New Roman"/>
                <w:noProof/>
              </w:rPr>
              <w:t xml:space="preserve"> September 1, 2020 or after i.e. </w:t>
            </w:r>
            <w:r w:rsidR="002B2BAA" w:rsidRPr="00F66630">
              <w:rPr>
                <w:rFonts w:ascii="Times New Roman" w:hAnsi="Times New Roman" w:cs="Times New Roman"/>
                <w:noProof/>
              </w:rPr>
              <w:t xml:space="preserve">the information is </w:t>
            </w:r>
            <w:r w:rsidR="006A722F" w:rsidRPr="00F66630">
              <w:rPr>
                <w:rFonts w:ascii="Times New Roman" w:hAnsi="Times New Roman" w:cs="Times New Roman"/>
                <w:noProof/>
              </w:rPr>
              <w:t>no older than August 31, 2020.</w:t>
            </w:r>
          </w:p>
          <w:p w14:paraId="218D3B73" w14:textId="77777777" w:rsidR="00BA2D66" w:rsidRPr="00F66630" w:rsidRDefault="00BA2D66" w:rsidP="00587F54">
            <w:pPr>
              <w:rPr>
                <w:rFonts w:ascii="Times New Roman" w:hAnsi="Times New Roman" w:cs="Times New Roman"/>
                <w:noProof/>
              </w:rPr>
            </w:pPr>
          </w:p>
          <w:p w14:paraId="608BC2E7" w14:textId="6007AD39" w:rsidR="00F951F4" w:rsidRPr="00F66630" w:rsidRDefault="00423C81" w:rsidP="00587F54">
            <w:pPr>
              <w:rPr>
                <w:rFonts w:ascii="Times New Roman" w:hAnsi="Times New Roman" w:cs="Times New Roman"/>
                <w:noProof/>
              </w:rPr>
            </w:pPr>
            <w:r w:rsidRPr="00F66630">
              <w:rPr>
                <w:rFonts w:ascii="Times New Roman" w:hAnsi="Times New Roman" w:cs="Times New Roman"/>
                <w:noProof/>
              </w:rPr>
              <w:t xml:space="preserve">(iii) </w:t>
            </w:r>
            <w:r w:rsidR="006D6C74" w:rsidRPr="00F66630">
              <w:rPr>
                <w:rFonts w:ascii="Times New Roman" w:hAnsi="Times New Roman" w:cs="Times New Roman"/>
                <w:noProof/>
              </w:rPr>
              <w:t>The property records to be stored in an electronic database</w:t>
            </w:r>
            <w:r w:rsidR="00F951F4" w:rsidRPr="00F66630">
              <w:rPr>
                <w:rFonts w:ascii="Times New Roman" w:hAnsi="Times New Roman" w:cs="Times New Roman"/>
                <w:noProof/>
              </w:rPr>
              <w:t>:</w:t>
            </w:r>
          </w:p>
          <w:p w14:paraId="4C2A5CA2" w14:textId="259AA88E" w:rsidR="001A2F8D" w:rsidRPr="00F66630" w:rsidRDefault="00844C5C" w:rsidP="00587F54">
            <w:pPr>
              <w:widowControl w:val="0"/>
              <w:numPr>
                <w:ilvl w:val="0"/>
                <w:numId w:val="109"/>
              </w:numPr>
              <w:autoSpaceDE w:val="0"/>
              <w:autoSpaceDN w:val="0"/>
              <w:adjustRightInd w:val="0"/>
              <w:rPr>
                <w:rFonts w:ascii="Times New Roman" w:hAnsi="Times New Roman" w:cs="Times New Roman"/>
                <w:noProof/>
              </w:rPr>
            </w:pPr>
            <w:r w:rsidRPr="00F66630">
              <w:rPr>
                <w:rFonts w:ascii="Times New Roman" w:hAnsi="Times New Roman" w:cs="Times New Roman"/>
                <w:noProof/>
              </w:rPr>
              <w:t>The database is a</w:t>
            </w:r>
            <w:r w:rsidR="00F951F4" w:rsidRPr="00F66630">
              <w:rPr>
                <w:rFonts w:ascii="Times New Roman" w:hAnsi="Times New Roman" w:cs="Times New Roman"/>
                <w:noProof/>
              </w:rPr>
              <w:t>ccessible</w:t>
            </w:r>
            <w:r w:rsidR="006B4840" w:rsidRPr="00F66630">
              <w:rPr>
                <w:rFonts w:ascii="Times New Roman" w:hAnsi="Times New Roman" w:cs="Times New Roman"/>
                <w:noProof/>
              </w:rPr>
              <w:t xml:space="preserve"> to other MDAs</w:t>
            </w:r>
            <w:r w:rsidRPr="00F66630">
              <w:rPr>
                <w:rFonts w:ascii="Times New Roman" w:hAnsi="Times New Roman" w:cs="Times New Roman"/>
                <w:noProof/>
              </w:rPr>
              <w:t xml:space="preserve"> (must include </w:t>
            </w:r>
            <w:r w:rsidR="00F951F4" w:rsidRPr="00F66630">
              <w:rPr>
                <w:rFonts w:ascii="Times New Roman" w:hAnsi="Times New Roman" w:cs="Times New Roman"/>
                <w:noProof/>
              </w:rPr>
              <w:t xml:space="preserve">the </w:t>
            </w:r>
            <w:r w:rsidR="006B4840" w:rsidRPr="00F66630">
              <w:rPr>
                <w:rFonts w:ascii="Times New Roman" w:hAnsi="Times New Roman" w:cs="Times New Roman"/>
                <w:noProof/>
              </w:rPr>
              <w:t>SIRS/SBIR</w:t>
            </w:r>
            <w:r w:rsidRPr="00F66630">
              <w:rPr>
                <w:rFonts w:ascii="Times New Roman" w:hAnsi="Times New Roman" w:cs="Times New Roman"/>
                <w:noProof/>
              </w:rPr>
              <w:t xml:space="preserve">) in electronic form, </w:t>
            </w:r>
            <w:r w:rsidR="006B4840" w:rsidRPr="00F66630">
              <w:rPr>
                <w:rFonts w:ascii="Times New Roman" w:hAnsi="Times New Roman" w:cs="Times New Roman"/>
                <w:noProof/>
              </w:rPr>
              <w:t xml:space="preserve">and </w:t>
            </w:r>
          </w:p>
          <w:p w14:paraId="479858A9" w14:textId="59A8D61B" w:rsidR="00C1713C" w:rsidRPr="00F66630" w:rsidRDefault="00844C5C" w:rsidP="00587F54">
            <w:pPr>
              <w:widowControl w:val="0"/>
              <w:numPr>
                <w:ilvl w:val="0"/>
                <w:numId w:val="109"/>
              </w:numPr>
              <w:autoSpaceDE w:val="0"/>
              <w:autoSpaceDN w:val="0"/>
              <w:adjustRightInd w:val="0"/>
              <w:rPr>
                <w:rFonts w:ascii="Times New Roman" w:hAnsi="Times New Roman" w:cs="Times New Roman"/>
                <w:noProof/>
              </w:rPr>
            </w:pPr>
            <w:r w:rsidRPr="00F66630">
              <w:rPr>
                <w:rFonts w:ascii="Times New Roman" w:hAnsi="Times New Roman" w:cs="Times New Roman"/>
                <w:noProof/>
              </w:rPr>
              <w:t>The database has started being used</w:t>
            </w:r>
            <w:r w:rsidR="00F951F4" w:rsidRPr="00F66630">
              <w:rPr>
                <w:rFonts w:ascii="Times New Roman" w:hAnsi="Times New Roman" w:cs="Times New Roman"/>
                <w:noProof/>
              </w:rPr>
              <w:t xml:space="preserve"> </w:t>
            </w:r>
            <w:r w:rsidR="006B4840" w:rsidRPr="00F66630">
              <w:rPr>
                <w:rFonts w:ascii="Times New Roman" w:hAnsi="Times New Roman" w:cs="Times New Roman"/>
                <w:noProof/>
              </w:rPr>
              <w:t>for property tax calculation and collection</w:t>
            </w:r>
            <w:r w:rsidR="00B42FD2" w:rsidRPr="00F66630">
              <w:rPr>
                <w:rFonts w:ascii="Times New Roman" w:hAnsi="Times New Roman" w:cs="Times New Roman"/>
                <w:noProof/>
              </w:rPr>
              <w:t>.</w:t>
            </w:r>
          </w:p>
          <w:p w14:paraId="399339CE" w14:textId="2D9FABFB" w:rsidR="003504AC" w:rsidRPr="00F66630" w:rsidRDefault="003504AC" w:rsidP="00587F54">
            <w:pPr>
              <w:rPr>
                <w:rFonts w:ascii="Times New Roman" w:hAnsi="Times New Roman" w:cs="Times New Roman"/>
                <w:noProof/>
              </w:rPr>
            </w:pPr>
          </w:p>
          <w:p w14:paraId="791C5518" w14:textId="2D1B7684" w:rsidR="000A5C33" w:rsidRPr="00F66630" w:rsidRDefault="00423C81" w:rsidP="00587F54">
            <w:pPr>
              <w:rPr>
                <w:rFonts w:ascii="Times New Roman" w:hAnsi="Times New Roman" w:cs="Times New Roman"/>
                <w:noProof/>
              </w:rPr>
            </w:pPr>
            <w:r w:rsidRPr="00F66630">
              <w:rPr>
                <w:rFonts w:ascii="Times New Roman" w:hAnsi="Times New Roman" w:cs="Times New Roman"/>
                <w:noProof/>
              </w:rPr>
              <w:t>2</w:t>
            </w:r>
            <w:r w:rsidR="000A5C33" w:rsidRPr="00F66630">
              <w:rPr>
                <w:rFonts w:ascii="Times New Roman" w:hAnsi="Times New Roman" w:cs="Times New Roman"/>
                <w:noProof/>
              </w:rPr>
              <w:t xml:space="preserve">. </w:t>
            </w:r>
            <w:r w:rsidR="00336CBB" w:rsidRPr="00F66630">
              <w:rPr>
                <w:rFonts w:ascii="Times New Roman" w:hAnsi="Times New Roman" w:cs="Times New Roman"/>
                <w:noProof/>
              </w:rPr>
              <w:t xml:space="preserve">Established </w:t>
            </w:r>
            <w:r w:rsidR="00010A4B" w:rsidRPr="00F66630">
              <w:rPr>
                <w:rFonts w:ascii="Times New Roman" w:hAnsi="Times New Roman" w:cs="Times New Roman"/>
              </w:rPr>
              <w:t>institutional arrangements to use the data to improve the collection of property tax</w:t>
            </w:r>
            <w:r w:rsidR="000A5C33" w:rsidRPr="00F66630">
              <w:rPr>
                <w:rFonts w:ascii="Times New Roman" w:hAnsi="Times New Roman" w:cs="Times New Roman"/>
                <w:noProof/>
              </w:rPr>
              <w:t>.</w:t>
            </w:r>
            <w:r w:rsidR="00010A4B" w:rsidRPr="00F66630">
              <w:rPr>
                <w:rFonts w:ascii="Times New Roman" w:hAnsi="Times New Roman" w:cs="Times New Roman"/>
                <w:noProof/>
              </w:rPr>
              <w:t xml:space="preserve"> The arrangements </w:t>
            </w:r>
            <w:r w:rsidR="009448BB" w:rsidRPr="00232545">
              <w:rPr>
                <w:rFonts w:ascii="Times New Roman" w:hAnsi="Times New Roman" w:cs="Times New Roman"/>
                <w:noProof/>
                <w:highlight w:val="yellow"/>
              </w:rPr>
              <w:t>are</w:t>
            </w:r>
            <w:r w:rsidR="009448BB">
              <w:rPr>
                <w:rFonts w:ascii="Times New Roman" w:hAnsi="Times New Roman" w:cs="Times New Roman"/>
                <w:noProof/>
              </w:rPr>
              <w:t xml:space="preserve"> </w:t>
            </w:r>
            <w:r w:rsidR="00010A4B" w:rsidRPr="00F66630">
              <w:rPr>
                <w:rFonts w:ascii="Times New Roman" w:hAnsi="Times New Roman" w:cs="Times New Roman"/>
                <w:noProof/>
              </w:rPr>
              <w:t xml:space="preserve">to </w:t>
            </w:r>
            <w:r w:rsidR="00010A4B" w:rsidRPr="00F66630">
              <w:rPr>
                <w:rFonts w:ascii="Times New Roman" w:hAnsi="Times New Roman" w:cs="Times New Roman"/>
                <w:noProof/>
              </w:rPr>
              <w:lastRenderedPageBreak/>
              <w:t>include at a minimum</w:t>
            </w:r>
            <w:r w:rsidR="009448BB">
              <w:rPr>
                <w:rFonts w:ascii="Times New Roman" w:hAnsi="Times New Roman" w:cs="Times New Roman"/>
                <w:noProof/>
              </w:rPr>
              <w:t xml:space="preserve"> </w:t>
            </w:r>
            <w:r w:rsidR="009448BB" w:rsidRPr="00232545">
              <w:rPr>
                <w:rFonts w:ascii="Times New Roman" w:hAnsi="Times New Roman" w:cs="Times New Roman"/>
                <w:noProof/>
                <w:highlight w:val="yellow"/>
              </w:rPr>
              <w:t>that</w:t>
            </w:r>
            <w:r w:rsidR="00010A4B" w:rsidRPr="00F66630">
              <w:rPr>
                <w:rFonts w:ascii="Times New Roman" w:hAnsi="Times New Roman" w:cs="Times New Roman"/>
                <w:noProof/>
              </w:rPr>
              <w:t>:</w:t>
            </w:r>
          </w:p>
          <w:p w14:paraId="2523D96F" w14:textId="76B14409" w:rsidR="009C738D" w:rsidRPr="00F66630" w:rsidRDefault="009C738D" w:rsidP="00587F54">
            <w:pPr>
              <w:numPr>
                <w:ilvl w:val="0"/>
                <w:numId w:val="72"/>
              </w:numPr>
              <w:rPr>
                <w:rFonts w:ascii="Times New Roman" w:hAnsi="Times New Roman" w:cs="Times New Roman"/>
                <w:noProof/>
              </w:rPr>
            </w:pPr>
            <w:r w:rsidRPr="00F66630">
              <w:rPr>
                <w:rFonts w:ascii="Times New Roman" w:hAnsi="Times New Roman" w:cs="Times New Roman"/>
                <w:noProof/>
              </w:rPr>
              <w:t xml:space="preserve">State has passed regulation(s) mandating that property data collected through the project </w:t>
            </w:r>
            <w:r w:rsidR="00676110" w:rsidRPr="00F66630">
              <w:rPr>
                <w:rFonts w:ascii="Times New Roman" w:hAnsi="Times New Roman" w:cs="Times New Roman"/>
                <w:noProof/>
              </w:rPr>
              <w:t xml:space="preserve">is </w:t>
            </w:r>
            <w:r w:rsidRPr="00F66630">
              <w:rPr>
                <w:rFonts w:ascii="Times New Roman" w:hAnsi="Times New Roman" w:cs="Times New Roman"/>
                <w:noProof/>
              </w:rPr>
              <w:t>shared with</w:t>
            </w:r>
            <w:r w:rsidR="00676110" w:rsidRPr="00F66630">
              <w:rPr>
                <w:rFonts w:ascii="Times New Roman" w:hAnsi="Times New Roman" w:cs="Times New Roman"/>
                <w:noProof/>
              </w:rPr>
              <w:t xml:space="preserve"> other MDAs (must include</w:t>
            </w:r>
            <w:r w:rsidRPr="00F66630">
              <w:rPr>
                <w:rFonts w:ascii="Times New Roman" w:hAnsi="Times New Roman" w:cs="Times New Roman"/>
                <w:noProof/>
              </w:rPr>
              <w:t xml:space="preserve"> the state revenue agency (SIRS/SBIR)</w:t>
            </w:r>
            <w:r w:rsidR="00676110" w:rsidRPr="00F66630">
              <w:rPr>
                <w:rFonts w:ascii="Times New Roman" w:hAnsi="Times New Roman" w:cs="Times New Roman"/>
                <w:noProof/>
              </w:rPr>
              <w:t>) in electronic form,</w:t>
            </w:r>
            <w:r w:rsidRPr="00F66630">
              <w:rPr>
                <w:rFonts w:ascii="Times New Roman" w:hAnsi="Times New Roman" w:cs="Times New Roman"/>
                <w:noProof/>
              </w:rPr>
              <w:t xml:space="preserve"> and can be used for generation of demand notices.</w:t>
            </w:r>
          </w:p>
          <w:p w14:paraId="10D30DE0" w14:textId="4A4458BD" w:rsidR="00442577" w:rsidRPr="00F66630" w:rsidRDefault="009C738D" w:rsidP="00587F54">
            <w:pPr>
              <w:numPr>
                <w:ilvl w:val="0"/>
                <w:numId w:val="72"/>
              </w:numPr>
              <w:rPr>
                <w:rFonts w:ascii="Times New Roman" w:hAnsi="Times New Roman" w:cs="Times New Roman"/>
                <w:noProof/>
              </w:rPr>
            </w:pPr>
            <w:r w:rsidRPr="00F66630">
              <w:rPr>
                <w:rFonts w:ascii="Times New Roman" w:hAnsi="Times New Roman" w:cs="Times New Roman"/>
                <w:noProof/>
              </w:rPr>
              <w:t>The tax demand notice</w:t>
            </w:r>
            <w:r w:rsidR="00945878" w:rsidRPr="00232545">
              <w:rPr>
                <w:rFonts w:ascii="Times New Roman" w:hAnsi="Times New Roman" w:cs="Times New Roman"/>
                <w:noProof/>
                <w:highlight w:val="yellow"/>
              </w:rPr>
              <w:t>/or tax bill</w:t>
            </w:r>
            <w:r w:rsidR="002518EE">
              <w:rPr>
                <w:rFonts w:ascii="Times New Roman" w:hAnsi="Times New Roman" w:cs="Times New Roman"/>
                <w:noProof/>
              </w:rPr>
              <w:t xml:space="preserve"> </w:t>
            </w:r>
            <w:r w:rsidRPr="00F66630">
              <w:rPr>
                <w:rFonts w:ascii="Times New Roman" w:hAnsi="Times New Roman" w:cs="Times New Roman"/>
                <w:noProof/>
              </w:rPr>
              <w:t>for property related charges/taxes has been amended to include geotag of property</w:t>
            </w:r>
            <w:r w:rsidR="002518EE">
              <w:rPr>
                <w:rFonts w:ascii="Times New Roman" w:hAnsi="Times New Roman" w:cs="Times New Roman"/>
                <w:noProof/>
              </w:rPr>
              <w:t xml:space="preserve"> </w:t>
            </w:r>
            <w:r w:rsidR="002518EE" w:rsidRPr="00232545">
              <w:rPr>
                <w:rFonts w:ascii="Times New Roman" w:hAnsi="Times New Roman" w:cs="Times New Roman"/>
                <w:noProof/>
                <w:highlight w:val="yellow"/>
              </w:rPr>
              <w:t>(with a minimum including the Property ID Reference)</w:t>
            </w:r>
            <w:r w:rsidRPr="00232545">
              <w:rPr>
                <w:rFonts w:ascii="Times New Roman" w:hAnsi="Times New Roman" w:cs="Times New Roman"/>
                <w:noProof/>
                <w:highlight w:val="yellow"/>
              </w:rPr>
              <w:t>.</w:t>
            </w:r>
          </w:p>
          <w:p w14:paraId="4A262FD6" w14:textId="77777777" w:rsidR="00C97721" w:rsidRPr="00F66630" w:rsidRDefault="00C97721" w:rsidP="00587F54">
            <w:pPr>
              <w:ind w:left="720"/>
              <w:rPr>
                <w:rFonts w:ascii="Times New Roman" w:hAnsi="Times New Roman" w:cs="Times New Roman"/>
                <w:noProof/>
              </w:rPr>
            </w:pPr>
          </w:p>
          <w:p w14:paraId="3D9AFC83" w14:textId="4CEA0467" w:rsidR="00BA2D66" w:rsidRPr="00F66630" w:rsidRDefault="006D6C74" w:rsidP="00587F54">
            <w:pPr>
              <w:rPr>
                <w:rFonts w:ascii="Times New Roman" w:hAnsi="Times New Roman" w:cs="Times New Roman"/>
                <w:i/>
                <w:iCs/>
                <w:noProof/>
              </w:rPr>
            </w:pPr>
            <w:r w:rsidRPr="00F66630">
              <w:rPr>
                <w:rFonts w:ascii="Times New Roman" w:hAnsi="Times New Roman" w:cs="Times New Roman"/>
                <w:i/>
                <w:iCs/>
                <w:noProof/>
                <w:u w:val="single"/>
              </w:rPr>
              <w:t>Definitions</w:t>
            </w:r>
            <w:r w:rsidR="00423C81" w:rsidRPr="00F66630">
              <w:rPr>
                <w:rFonts w:ascii="Times New Roman" w:hAnsi="Times New Roman" w:cs="Times New Roman"/>
                <w:i/>
                <w:iCs/>
                <w:noProof/>
                <w:u w:val="single"/>
              </w:rPr>
              <w:t xml:space="preserve">: </w:t>
            </w:r>
            <w:r w:rsidR="00676110" w:rsidRPr="00F66630">
              <w:rPr>
                <w:rFonts w:ascii="Times New Roman" w:hAnsi="Times New Roman" w:cs="Times New Roman"/>
                <w:i/>
                <w:iCs/>
                <w:noProof/>
              </w:rPr>
              <w:t>*Urban area as defined under the Land Use Act, 1978. Note that, b</w:t>
            </w:r>
            <w:r w:rsidR="009879D9" w:rsidRPr="00F66630">
              <w:rPr>
                <w:rFonts w:ascii="Times New Roman" w:hAnsi="Times New Roman" w:cs="Times New Roman"/>
                <w:i/>
                <w:iCs/>
                <w:noProof/>
              </w:rPr>
              <w:t>ased on identification of urban wards by GRID3, the target # of properties has been derived and communicated to states based on building footprints derived from satellite imagery and estimates of the share of urban population with electricity connection from national surveys</w:t>
            </w:r>
          </w:p>
        </w:tc>
      </w:tr>
      <w:tr w:rsidR="00DA7726" w:rsidRPr="00F66630" w14:paraId="14F1998B" w14:textId="77777777" w:rsidTr="00C50865">
        <w:tc>
          <w:tcPr>
            <w:tcW w:w="5000" w:type="pct"/>
            <w:gridSpan w:val="2"/>
            <w:shd w:val="clear" w:color="auto" w:fill="FDE9D9" w:themeFill="accent6" w:themeFillTint="33"/>
          </w:tcPr>
          <w:p w14:paraId="141C18D7" w14:textId="5349C5C7" w:rsidR="00DA7726" w:rsidRPr="00F66630" w:rsidRDefault="00DA7726" w:rsidP="00C50865">
            <w:pPr>
              <w:rPr>
                <w:rFonts w:ascii="Times New Roman" w:hAnsi="Times New Roman" w:cs="Times New Roman"/>
                <w:b/>
                <w:i/>
              </w:rPr>
            </w:pPr>
            <w:r w:rsidRPr="00F66630">
              <w:rPr>
                <w:rFonts w:ascii="Times New Roman" w:hAnsi="Times New Roman" w:cs="Times New Roman"/>
                <w:b/>
                <w:i/>
              </w:rPr>
              <w:lastRenderedPageBreak/>
              <w:t>Data Source and Procedures to assess achievemen</w:t>
            </w:r>
            <w:r w:rsidR="00203671" w:rsidRPr="00F66630">
              <w:rPr>
                <w:rFonts w:ascii="Times New Roman" w:hAnsi="Times New Roman" w:cs="Times New Roman"/>
                <w:b/>
                <w:i/>
              </w:rPr>
              <w:t>t</w:t>
            </w:r>
          </w:p>
        </w:tc>
      </w:tr>
      <w:tr w:rsidR="00DA7726" w:rsidRPr="00F66630" w14:paraId="2F5B12E6" w14:textId="77777777" w:rsidTr="00C50865">
        <w:tc>
          <w:tcPr>
            <w:tcW w:w="5000" w:type="pct"/>
            <w:gridSpan w:val="2"/>
          </w:tcPr>
          <w:p w14:paraId="139C2E22" w14:textId="77777777" w:rsidR="00DA7726" w:rsidRPr="00F66630" w:rsidRDefault="00DA7726" w:rsidP="00C50865">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1C8EDA58" w14:textId="2CCD840B" w:rsidR="00636365" w:rsidRPr="00F66630" w:rsidRDefault="00636365"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State Ministry of Finance, Budget and Planning, State GIS agency (if it exists) and State website</w:t>
            </w:r>
            <w:r w:rsidR="00BA2D66" w:rsidRPr="00F66630">
              <w:rPr>
                <w:rFonts w:ascii="Times New Roman" w:eastAsia="Times New Roman" w:hAnsi="Times New Roman" w:cs="Times New Roman"/>
                <w:b/>
                <w:bCs/>
                <w:iCs/>
                <w:sz w:val="22"/>
                <w:szCs w:val="22"/>
              </w:rPr>
              <w:br/>
            </w:r>
          </w:p>
        </w:tc>
      </w:tr>
      <w:tr w:rsidR="00DA7726" w:rsidRPr="00F66630" w14:paraId="0055A4BB" w14:textId="77777777" w:rsidTr="00C50865">
        <w:tc>
          <w:tcPr>
            <w:tcW w:w="5000" w:type="pct"/>
            <w:gridSpan w:val="2"/>
          </w:tcPr>
          <w:p w14:paraId="53F0CC7B" w14:textId="77777777" w:rsidR="00DA7726" w:rsidRPr="00F66630" w:rsidRDefault="00DA7726" w:rsidP="00C50865">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78F25C53" w14:textId="04D3366E" w:rsidR="00BF7E21" w:rsidRDefault="00BF7E21" w:rsidP="00E3445B">
            <w:pPr>
              <w:pStyle w:val="ListParagraph"/>
              <w:numPr>
                <w:ilvl w:val="0"/>
                <w:numId w:val="62"/>
              </w:numPr>
              <w:spacing w:after="120"/>
              <w:rPr>
                <w:rFonts w:ascii="Times New Roman" w:hAnsi="Times New Roman" w:cs="Times New Roman"/>
              </w:rPr>
            </w:pPr>
            <w:r w:rsidRPr="00F66630">
              <w:rPr>
                <w:rFonts w:ascii="Times New Roman" w:hAnsi="Times New Roman" w:cs="Times New Roman"/>
              </w:rPr>
              <w:t>State produces a report with supporting evidence that they have completed</w:t>
            </w:r>
            <w:r w:rsidR="004C37AF" w:rsidRPr="00F66630">
              <w:rPr>
                <w:rFonts w:ascii="Times New Roman" w:hAnsi="Times New Roman" w:cs="Times New Roman"/>
              </w:rPr>
              <w:t>,</w:t>
            </w:r>
            <w:r w:rsidRPr="00F66630">
              <w:rPr>
                <w:rFonts w:ascii="Times New Roman" w:hAnsi="Times New Roman" w:cs="Times New Roman"/>
              </w:rPr>
              <w:t xml:space="preserve"> or updated property records</w:t>
            </w:r>
            <w:r w:rsidR="00177197" w:rsidRPr="00061DB2">
              <w:rPr>
                <w:rFonts w:ascii="Times New Roman" w:hAnsi="Times New Roman" w:cs="Times New Roman"/>
                <w:highlight w:val="yellow"/>
              </w:rPr>
              <w:t>, and provides access to the IVA to the database</w:t>
            </w:r>
            <w:r w:rsidR="00295DA9" w:rsidRPr="00061DB2">
              <w:rPr>
                <w:rFonts w:ascii="Times New Roman" w:hAnsi="Times New Roman" w:cs="Times New Roman"/>
                <w:highlight w:val="yellow"/>
              </w:rPr>
              <w:t xml:space="preserve"> to review it</w:t>
            </w:r>
            <w:r w:rsidR="006C08BD" w:rsidRPr="00F66630">
              <w:rPr>
                <w:rFonts w:ascii="Times New Roman" w:hAnsi="Times New Roman" w:cs="Times New Roman"/>
              </w:rPr>
              <w:t xml:space="preserve"> and copy</w:t>
            </w:r>
            <w:r w:rsidR="009879D9" w:rsidRPr="00F66630">
              <w:rPr>
                <w:rFonts w:ascii="Times New Roman" w:hAnsi="Times New Roman" w:cs="Times New Roman"/>
              </w:rPr>
              <w:t xml:space="preserve"> of </w:t>
            </w:r>
            <w:r w:rsidR="0067002C" w:rsidRPr="00F66630">
              <w:rPr>
                <w:rFonts w:ascii="Times New Roman" w:hAnsi="Times New Roman" w:cs="Times New Roman"/>
              </w:rPr>
              <w:t xml:space="preserve">the </w:t>
            </w:r>
            <w:r w:rsidR="009879D9" w:rsidRPr="00F66630">
              <w:rPr>
                <w:rFonts w:ascii="Times New Roman" w:hAnsi="Times New Roman" w:cs="Times New Roman"/>
              </w:rPr>
              <w:t>regulation</w:t>
            </w:r>
            <w:r w:rsidR="0067002C" w:rsidRPr="00F66630">
              <w:rPr>
                <w:rFonts w:ascii="Times New Roman" w:hAnsi="Times New Roman" w:cs="Times New Roman"/>
              </w:rPr>
              <w:t>(s)</w:t>
            </w:r>
            <w:r w:rsidR="009879D9" w:rsidRPr="00F66630">
              <w:rPr>
                <w:rFonts w:ascii="Times New Roman" w:hAnsi="Times New Roman" w:cs="Times New Roman"/>
              </w:rPr>
              <w:t xml:space="preserve"> for data sharing and interoperability</w:t>
            </w:r>
            <w:r w:rsidR="0067002C" w:rsidRPr="00F66630">
              <w:rPr>
                <w:rFonts w:ascii="Times New Roman" w:hAnsi="Times New Roman" w:cs="Times New Roman"/>
              </w:rPr>
              <w:t>.</w:t>
            </w:r>
          </w:p>
          <w:p w14:paraId="43CAB612" w14:textId="7431B966" w:rsidR="00D941BB" w:rsidRPr="00061DB2" w:rsidRDefault="00D941BB" w:rsidP="00E3445B">
            <w:pPr>
              <w:pStyle w:val="ListParagraph"/>
              <w:numPr>
                <w:ilvl w:val="0"/>
                <w:numId w:val="62"/>
              </w:numPr>
              <w:spacing w:after="120"/>
              <w:rPr>
                <w:rFonts w:ascii="Times New Roman" w:hAnsi="Times New Roman" w:cs="Times New Roman"/>
                <w:highlight w:val="yellow"/>
              </w:rPr>
            </w:pPr>
            <w:r w:rsidRPr="00061DB2">
              <w:rPr>
                <w:rFonts w:ascii="Times New Roman" w:hAnsi="Times New Roman" w:cs="Times New Roman"/>
                <w:highlight w:val="yellow"/>
              </w:rPr>
              <w:t xml:space="preserve">IVA gets data on the </w:t>
            </w:r>
            <w:r w:rsidR="000E6782" w:rsidRPr="00061DB2">
              <w:rPr>
                <w:rFonts w:ascii="Times New Roman" w:hAnsi="Times New Roman" w:cs="Times New Roman"/>
                <w:highlight w:val="yellow"/>
              </w:rPr>
              <w:t>target</w:t>
            </w:r>
            <w:r w:rsidRPr="00061DB2">
              <w:rPr>
                <w:rFonts w:ascii="Times New Roman" w:hAnsi="Times New Roman" w:cs="Times New Roman"/>
                <w:highlight w:val="yellow"/>
              </w:rPr>
              <w:t xml:space="preserve"> number </w:t>
            </w:r>
            <w:r w:rsidRPr="00061DB2">
              <w:rPr>
                <w:rFonts w:ascii="Times New Roman" w:hAnsi="Times New Roman" w:cs="Times New Roman"/>
                <w:noProof/>
                <w:highlight w:val="yellow"/>
              </w:rPr>
              <w:t>properties that have electricity connections in urban areas</w:t>
            </w:r>
            <w:r w:rsidRPr="00061DB2">
              <w:rPr>
                <w:rFonts w:ascii="Times New Roman" w:hAnsi="Times New Roman" w:cs="Times New Roman"/>
                <w:highlight w:val="yellow"/>
              </w:rPr>
              <w:t xml:space="preserve"> </w:t>
            </w:r>
            <w:r w:rsidR="00421993" w:rsidRPr="00061DB2">
              <w:rPr>
                <w:rFonts w:ascii="Times New Roman" w:hAnsi="Times New Roman" w:cs="Times New Roman"/>
                <w:highlight w:val="yellow"/>
              </w:rPr>
              <w:t xml:space="preserve">that were provided to each state </w:t>
            </w:r>
            <w:r w:rsidRPr="00061DB2">
              <w:rPr>
                <w:rFonts w:ascii="Times New Roman" w:hAnsi="Times New Roman" w:cs="Times New Roman"/>
                <w:highlight w:val="yellow"/>
              </w:rPr>
              <w:t>from the World Bank</w:t>
            </w:r>
          </w:p>
          <w:p w14:paraId="68694168" w14:textId="32A2769E" w:rsidR="00D64601" w:rsidRPr="00F66630" w:rsidRDefault="00D64601" w:rsidP="00E3445B">
            <w:pPr>
              <w:pStyle w:val="ListParagraph"/>
              <w:numPr>
                <w:ilvl w:val="0"/>
                <w:numId w:val="62"/>
              </w:numPr>
              <w:spacing w:after="120"/>
              <w:rPr>
                <w:rFonts w:ascii="Times New Roman" w:hAnsi="Times New Roman" w:cs="Times New Roman"/>
              </w:rPr>
            </w:pPr>
            <w:r w:rsidRPr="00F66630">
              <w:rPr>
                <w:rFonts w:ascii="Times New Roman" w:hAnsi="Times New Roman" w:cs="Times New Roman"/>
              </w:rPr>
              <w:t xml:space="preserve">IVA </w:t>
            </w:r>
            <w:r w:rsidR="00495225" w:rsidRPr="00F66630">
              <w:rPr>
                <w:rFonts w:ascii="Times New Roman" w:hAnsi="Times New Roman" w:cs="Times New Roman"/>
              </w:rPr>
              <w:t xml:space="preserve">gets copies of draft model regulations shared with the States from NGF and PCU </w:t>
            </w:r>
          </w:p>
          <w:p w14:paraId="25351439" w14:textId="265167C7" w:rsidR="00DA7726" w:rsidRPr="00F66630" w:rsidRDefault="00BF7E21" w:rsidP="00E3445B">
            <w:pPr>
              <w:pStyle w:val="ListParagraph"/>
              <w:numPr>
                <w:ilvl w:val="0"/>
                <w:numId w:val="62"/>
              </w:numPr>
              <w:spacing w:after="120"/>
              <w:rPr>
                <w:rFonts w:ascii="Times New Roman" w:hAnsi="Times New Roman" w:cs="Times New Roman"/>
              </w:rPr>
            </w:pPr>
            <w:r w:rsidRPr="00F66630">
              <w:rPr>
                <w:rFonts w:ascii="Times New Roman" w:hAnsi="Times New Roman" w:cs="Times New Roman"/>
              </w:rPr>
              <w:t>IVA to conduct tests for each of the required elements of the DLI</w:t>
            </w:r>
            <w:r w:rsidR="0067002C" w:rsidRPr="00F66630">
              <w:rPr>
                <w:rFonts w:ascii="Times New Roman" w:hAnsi="Times New Roman" w:cs="Times New Roman"/>
              </w:rPr>
              <w:t>.</w:t>
            </w:r>
          </w:p>
        </w:tc>
      </w:tr>
    </w:tbl>
    <w:p w14:paraId="4816C698" w14:textId="77777777" w:rsidR="00BA2D66" w:rsidRPr="00F66630" w:rsidRDefault="00BA2D66">
      <w:r w:rsidRPr="00F66630">
        <w:rPr>
          <w:b/>
          <w:bCs/>
        </w:rPr>
        <w:br w:type="page"/>
      </w:r>
    </w:p>
    <w:tbl>
      <w:tblPr>
        <w:tblStyle w:val="TableGrid"/>
        <w:tblW w:w="5315" w:type="pct"/>
        <w:tblLook w:val="04A0" w:firstRow="1" w:lastRow="0" w:firstColumn="1" w:lastColumn="0" w:noHBand="0" w:noVBand="1"/>
      </w:tblPr>
      <w:tblGrid>
        <w:gridCol w:w="2695"/>
        <w:gridCol w:w="449"/>
        <w:gridCol w:w="10622"/>
      </w:tblGrid>
      <w:tr w:rsidR="0095291E" w:rsidRPr="00F66630" w14:paraId="06D497F3" w14:textId="77777777" w:rsidTr="00E759AF">
        <w:trPr>
          <w:trHeight w:val="773"/>
        </w:trPr>
        <w:tc>
          <w:tcPr>
            <w:tcW w:w="5000" w:type="pct"/>
            <w:gridSpan w:val="3"/>
            <w:shd w:val="clear" w:color="auto" w:fill="EAF1DD" w:themeFill="accent3" w:themeFillTint="33"/>
          </w:tcPr>
          <w:p w14:paraId="05396B43" w14:textId="1C496E3C" w:rsidR="0095291E" w:rsidRPr="00F66630" w:rsidRDefault="00712074" w:rsidP="004627E0">
            <w:pPr>
              <w:pStyle w:val="Heading3"/>
              <w:numPr>
                <w:ilvl w:val="0"/>
                <w:numId w:val="0"/>
              </w:numPr>
              <w:outlineLvl w:val="2"/>
              <w:rPr>
                <w:rFonts w:cs="Times New Roman"/>
                <w:bCs w:val="0"/>
                <w:sz w:val="22"/>
                <w:szCs w:val="22"/>
              </w:rPr>
            </w:pPr>
            <w:bookmarkStart w:id="48" w:name="_Toc107345864"/>
            <w:r w:rsidRPr="00F66630">
              <w:rPr>
                <w:sz w:val="22"/>
              </w:rPr>
              <w:lastRenderedPageBreak/>
              <w:t xml:space="preserve">DLI 12: Strengthened procurement function for COVID-19 or </w:t>
            </w:r>
            <w:proofErr w:type="gramStart"/>
            <w:r w:rsidRPr="00F66630">
              <w:rPr>
                <w:sz w:val="22"/>
              </w:rPr>
              <w:t>emergency situation</w:t>
            </w:r>
            <w:proofErr w:type="gramEnd"/>
            <w:r w:rsidRPr="00F66630">
              <w:rPr>
                <w:sz w:val="22"/>
              </w:rPr>
              <w:t xml:space="preserve"> and facilitated participation of SMEs in public procurement in the resilient recovery phase</w:t>
            </w:r>
            <w:bookmarkEnd w:id="48"/>
          </w:p>
        </w:tc>
      </w:tr>
      <w:tr w:rsidR="0095291E" w:rsidRPr="00F66630" w14:paraId="48BA3681" w14:textId="77777777" w:rsidTr="00423C81">
        <w:trPr>
          <w:trHeight w:val="470"/>
        </w:trPr>
        <w:tc>
          <w:tcPr>
            <w:tcW w:w="979" w:type="pct"/>
            <w:shd w:val="clear" w:color="auto" w:fill="FDE9D9" w:themeFill="accent6" w:themeFillTint="33"/>
          </w:tcPr>
          <w:p w14:paraId="24D5F801"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DLR description as per DLI Matrix</w:t>
            </w:r>
          </w:p>
        </w:tc>
        <w:tc>
          <w:tcPr>
            <w:tcW w:w="4021" w:type="pct"/>
            <w:gridSpan w:val="2"/>
            <w:shd w:val="clear" w:color="auto" w:fill="FDE9D9" w:themeFill="accent6" w:themeFillTint="33"/>
          </w:tcPr>
          <w:p w14:paraId="3F981714"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25CC8630" w14:textId="77777777" w:rsidTr="00423C81">
        <w:tc>
          <w:tcPr>
            <w:tcW w:w="979" w:type="pct"/>
          </w:tcPr>
          <w:p w14:paraId="2AC9BD58" w14:textId="035CA75B" w:rsidR="0095291E" w:rsidRPr="00F66630" w:rsidRDefault="002D7B66" w:rsidP="004627E0">
            <w:pPr>
              <w:spacing w:after="120"/>
              <w:rPr>
                <w:rFonts w:ascii="Times New Roman" w:hAnsi="Times New Roman" w:cs="Times New Roman"/>
              </w:rPr>
            </w:pPr>
            <w:r w:rsidRPr="00F66630">
              <w:rPr>
                <w:rFonts w:ascii="Times New Roman" w:hAnsi="Times New Roman" w:cs="Times New Roman"/>
                <w:b/>
                <w:bCs/>
              </w:rPr>
              <w:t>12</w:t>
            </w:r>
            <w:r w:rsidR="0095291E" w:rsidRPr="00F66630">
              <w:rPr>
                <w:rFonts w:ascii="Times New Roman" w:hAnsi="Times New Roman" w:cs="Times New Roman"/>
                <w:b/>
                <w:bCs/>
              </w:rPr>
              <w:t>.1 No later than September 30, 2020</w:t>
            </w:r>
            <w:r w:rsidR="0095291E" w:rsidRPr="00F66630">
              <w:rPr>
                <w:rFonts w:ascii="Times New Roman" w:hAnsi="Times New Roman" w:cs="Times New Roman"/>
              </w:rPr>
              <w:t>, the Public Procurement Authority (PPA) of the Participating State has issued emergency guidelines for (i) the procurement of goods and services for COVID-19 and other emergency situations; AND (ii) the adaptation of existing public procurement procedures to support the increase in participation of SMEs (the “SME Guidelines”</w:t>
            </w:r>
            <w:proofErr w:type="gramStart"/>
            <w:r w:rsidR="0095291E" w:rsidRPr="00F66630">
              <w:rPr>
                <w:rFonts w:ascii="Times New Roman" w:hAnsi="Times New Roman" w:cs="Times New Roman"/>
              </w:rPr>
              <w:t>);</w:t>
            </w:r>
            <w:proofErr w:type="gramEnd"/>
            <w:r w:rsidR="0095291E" w:rsidRPr="00F66630">
              <w:rPr>
                <w:rFonts w:ascii="Times New Roman" w:hAnsi="Times New Roman" w:cs="Times New Roman"/>
              </w:rPr>
              <w:t xml:space="preserve"> </w:t>
            </w:r>
          </w:p>
          <w:p w14:paraId="1871A194" w14:textId="77777777" w:rsidR="0095291E" w:rsidRPr="00F66630" w:rsidRDefault="0095291E" w:rsidP="004627E0">
            <w:pPr>
              <w:spacing w:after="120"/>
              <w:rPr>
                <w:rFonts w:ascii="Times New Roman" w:hAnsi="Times New Roman" w:cs="Times New Roman"/>
              </w:rPr>
            </w:pPr>
            <w:r w:rsidRPr="00F66630">
              <w:rPr>
                <w:rFonts w:ascii="Times New Roman" w:hAnsi="Times New Roman" w:cs="Times New Roman"/>
              </w:rPr>
              <w:t xml:space="preserve">AND </w:t>
            </w:r>
          </w:p>
          <w:p w14:paraId="5A505E9D" w14:textId="77777777" w:rsidR="0095291E" w:rsidRPr="00F66630" w:rsidRDefault="0095291E" w:rsidP="004627E0">
            <w:pPr>
              <w:spacing w:after="120"/>
              <w:rPr>
                <w:rFonts w:ascii="Times New Roman" w:hAnsi="Times New Roman" w:cs="Times New Roman"/>
              </w:rPr>
            </w:pPr>
            <w:r w:rsidRPr="00F66630">
              <w:rPr>
                <w:rFonts w:ascii="Times New Roman" w:hAnsi="Times New Roman" w:cs="Times New Roman"/>
              </w:rPr>
              <w:t>At least two training sessions for SMEs on the SME Guidelines have been held.</w:t>
            </w:r>
          </w:p>
        </w:tc>
        <w:tc>
          <w:tcPr>
            <w:tcW w:w="4021" w:type="pct"/>
            <w:gridSpan w:val="2"/>
          </w:tcPr>
          <w:p w14:paraId="584AA18C" w14:textId="148CF1E1" w:rsidR="0095291E" w:rsidRPr="00F66630" w:rsidRDefault="0095291E" w:rsidP="004627E0">
            <w:pPr>
              <w:spacing w:after="120" w:line="256" w:lineRule="auto"/>
              <w:rPr>
                <w:rFonts w:ascii="Times New Roman" w:hAnsi="Times New Roman" w:cs="Times New Roman"/>
                <w:bCs/>
                <w:iCs/>
              </w:rPr>
            </w:pPr>
            <w:r w:rsidRPr="00F66630">
              <w:rPr>
                <w:rFonts w:ascii="Times New Roman" w:hAnsi="Times New Roman" w:cs="Times New Roman"/>
                <w:bCs/>
                <w:iCs/>
              </w:rPr>
              <w:t>To achieve this DL</w:t>
            </w:r>
            <w:r w:rsidR="00A024C8" w:rsidRPr="00F66630">
              <w:rPr>
                <w:rFonts w:ascii="Times New Roman" w:hAnsi="Times New Roman" w:cs="Times New Roman"/>
                <w:bCs/>
                <w:iCs/>
              </w:rPr>
              <w:t>R</w:t>
            </w:r>
            <w:r w:rsidRPr="00F66630">
              <w:rPr>
                <w:rFonts w:ascii="Times New Roman" w:hAnsi="Times New Roman" w:cs="Times New Roman"/>
                <w:bCs/>
                <w:iCs/>
              </w:rPr>
              <w:t>, ALL the following need to be achieved by September 30, 2020:</w:t>
            </w:r>
          </w:p>
          <w:p w14:paraId="42246302" w14:textId="77777777"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1. State public procurement agency issued and published on the PPA or state official website with free access emergency procurement guidelines* for timely and efficient procurement of urgently needed goods and services for COVID-19 and other emergency situations.</w:t>
            </w:r>
          </w:p>
          <w:p w14:paraId="08F713D4" w14:textId="77777777"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2. State public procurement agency issued guidelines** that adapts the existing procurement procedures to support and encourage participation of small and medium enterprises (SMEs).</w:t>
            </w:r>
          </w:p>
          <w:p w14:paraId="09C0662A" w14:textId="77777777"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3. State public procurement agency conducted at least two (2) set of trainings with SMEs on the adapted procedures.</w:t>
            </w:r>
          </w:p>
          <w:p w14:paraId="0FDC5D13"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 xml:space="preserve">*Emergency procurement guidelines is issued that allows for </w:t>
            </w:r>
          </w:p>
          <w:p w14:paraId="13EB6B1C"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Bidding documents/Request for Quotation to be downloaded from PPA/State websites</w:t>
            </w:r>
          </w:p>
          <w:p w14:paraId="4978D668"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Submission of bids/proposals/quotations through electronic means</w:t>
            </w:r>
          </w:p>
          <w:p w14:paraId="3BC62754"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Virtual evaluation of bids/proposals/quotations</w:t>
            </w:r>
          </w:p>
          <w:p w14:paraId="3BDF894C"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Electronic signing of contract agreements</w:t>
            </w:r>
          </w:p>
          <w:p w14:paraId="09A302E7"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The use of Bid Securing Declaration instead of Bid Security</w:t>
            </w:r>
          </w:p>
          <w:p w14:paraId="4DB306AC"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Acceptance of scanned copies of financial security</w:t>
            </w:r>
          </w:p>
          <w:p w14:paraId="6813DB82"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Extension of bid submission deadline on-going Bidding</w:t>
            </w:r>
          </w:p>
          <w:p w14:paraId="5CD90110" w14:textId="77777777" w:rsidR="0095291E" w:rsidRPr="00F66630" w:rsidRDefault="0095291E" w:rsidP="00E3445B">
            <w:pPr>
              <w:widowControl w:val="0"/>
              <w:numPr>
                <w:ilvl w:val="0"/>
                <w:numId w:val="55"/>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Easy application of force majeure</w:t>
            </w:r>
          </w:p>
          <w:p w14:paraId="0C0A9FCD"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w:t>
            </w:r>
          </w:p>
          <w:p w14:paraId="0EA13EE9" w14:textId="77777777" w:rsidR="0095291E" w:rsidRPr="00F66630" w:rsidRDefault="0095291E" w:rsidP="004627E0">
            <w:pPr>
              <w:spacing w:line="256" w:lineRule="auto"/>
              <w:rPr>
                <w:rFonts w:ascii="Times New Roman" w:hAnsi="Times New Roman" w:cs="Times New Roman"/>
                <w:noProof/>
              </w:rPr>
            </w:pPr>
            <w:r w:rsidRPr="00F66630">
              <w:rPr>
                <w:rFonts w:ascii="Times New Roman" w:hAnsi="Times New Roman" w:cs="Times New Roman"/>
                <w:noProof/>
              </w:rPr>
              <w:t xml:space="preserve">**Guidelines issued to support and encourage participation of SMEs contain the following provisions: </w:t>
            </w:r>
          </w:p>
          <w:p w14:paraId="5AF73667" w14:textId="77777777" w:rsidR="0095291E" w:rsidRPr="00F66630" w:rsidRDefault="0095291E" w:rsidP="00E3445B">
            <w:pPr>
              <w:widowControl w:val="0"/>
              <w:numPr>
                <w:ilvl w:val="0"/>
                <w:numId w:val="56"/>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Allows the use of Alternatives to the requirement for submission of Bid Security, for example Bid Securing Declaration</w:t>
            </w:r>
          </w:p>
          <w:p w14:paraId="58EEEB60" w14:textId="77777777" w:rsidR="0095291E" w:rsidRPr="00F66630" w:rsidRDefault="0095291E" w:rsidP="00E3445B">
            <w:pPr>
              <w:widowControl w:val="0"/>
              <w:numPr>
                <w:ilvl w:val="0"/>
                <w:numId w:val="56"/>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Relaxes the qualification criteria; examples, average annual turnover, cash flow and number of specific contract experience</w:t>
            </w:r>
          </w:p>
          <w:p w14:paraId="60C8B989" w14:textId="77777777" w:rsidR="0095291E" w:rsidRPr="00F66630" w:rsidRDefault="0095291E" w:rsidP="00E3445B">
            <w:pPr>
              <w:widowControl w:val="0"/>
              <w:numPr>
                <w:ilvl w:val="0"/>
                <w:numId w:val="56"/>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Removes the requirement of performance security</w:t>
            </w:r>
          </w:p>
          <w:p w14:paraId="0F8299AF" w14:textId="77777777" w:rsidR="0095291E" w:rsidRPr="00F66630" w:rsidRDefault="0095291E" w:rsidP="00E3445B">
            <w:pPr>
              <w:widowControl w:val="0"/>
              <w:numPr>
                <w:ilvl w:val="0"/>
                <w:numId w:val="56"/>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Increases advance payment up to about 40% of contract price</w:t>
            </w:r>
          </w:p>
          <w:p w14:paraId="204E8B0B" w14:textId="77777777" w:rsidR="0095291E" w:rsidRPr="00F66630" w:rsidRDefault="0095291E" w:rsidP="004627E0">
            <w:pPr>
              <w:widowControl w:val="0"/>
              <w:autoSpaceDE w:val="0"/>
              <w:autoSpaceDN w:val="0"/>
              <w:adjustRightInd w:val="0"/>
              <w:ind w:right="90"/>
              <w:rPr>
                <w:rFonts w:ascii="Times New Roman" w:hAnsi="Times New Roman" w:cs="Times New Roman"/>
                <w:i/>
                <w:iCs/>
              </w:rPr>
            </w:pPr>
          </w:p>
          <w:p w14:paraId="2330E4F6" w14:textId="1E3CE501" w:rsidR="0095291E" w:rsidRPr="00F66630" w:rsidRDefault="0095291E" w:rsidP="004627E0">
            <w:pPr>
              <w:widowControl w:val="0"/>
              <w:autoSpaceDE w:val="0"/>
              <w:autoSpaceDN w:val="0"/>
              <w:adjustRightInd w:val="0"/>
              <w:ind w:right="90"/>
              <w:rPr>
                <w:rFonts w:ascii="Times New Roman" w:hAnsi="Times New Roman" w:cs="Times New Roman"/>
                <w:noProof/>
              </w:rPr>
            </w:pPr>
            <w:r w:rsidRPr="00F66630">
              <w:rPr>
                <w:rFonts w:ascii="Times New Roman" w:hAnsi="Times New Roman" w:cs="Times New Roman"/>
                <w:noProof/>
                <w:u w:val="single"/>
              </w:rPr>
              <w:t>Definitions: </w:t>
            </w:r>
            <w:r w:rsidRPr="00F66630">
              <w:rPr>
                <w:rFonts w:ascii="Times New Roman" w:hAnsi="Times New Roman" w:cs="Times New Roman"/>
                <w:noProof/>
              </w:rPr>
              <w:t xml:space="preserve">SME is defined according to the definition in the Small and Medium Enterprises Development Agency National Policy of SMEs page 12, available on SMEDAN website: </w:t>
            </w:r>
            <w:hyperlink r:id="rId18" w:history="1">
              <w:r w:rsidRPr="00F66630">
                <w:rPr>
                  <w:rStyle w:val="Hyperlink"/>
                  <w:rFonts w:ascii="Times New Roman" w:hAnsi="Times New Roman" w:cs="Times New Roman"/>
                  <w:i/>
                  <w:iCs/>
                  <w:noProof/>
                </w:rPr>
                <w:t>https://smedan.gov.ng/images/PDF/MSME-National-Policy.pdf</w:t>
              </w:r>
              <w:r w:rsidRPr="00F66630">
                <w:rPr>
                  <w:rStyle w:val="Hyperlink"/>
                  <w:rFonts w:ascii="Times New Roman" w:hAnsi="Times New Roman" w:cs="Times New Roman"/>
                  <w:noProof/>
                </w:rPr>
                <w:t>​​​​​​\</w:t>
              </w:r>
            </w:hyperlink>
          </w:p>
        </w:tc>
      </w:tr>
      <w:tr w:rsidR="0095291E" w:rsidRPr="00F66630" w14:paraId="2AD7C530" w14:textId="77777777" w:rsidTr="004627E0">
        <w:trPr>
          <w:trHeight w:val="470"/>
        </w:trPr>
        <w:tc>
          <w:tcPr>
            <w:tcW w:w="1142" w:type="pct"/>
            <w:gridSpan w:val="2"/>
            <w:shd w:val="clear" w:color="auto" w:fill="FDE9D9" w:themeFill="accent6" w:themeFillTint="33"/>
          </w:tcPr>
          <w:p w14:paraId="7072C90E"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DLR description as per DLI Matrix</w:t>
            </w:r>
          </w:p>
        </w:tc>
        <w:tc>
          <w:tcPr>
            <w:tcW w:w="3858" w:type="pct"/>
            <w:shd w:val="clear" w:color="auto" w:fill="FDE9D9" w:themeFill="accent6" w:themeFillTint="33"/>
          </w:tcPr>
          <w:p w14:paraId="7E98112C"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180E75F9" w14:textId="77777777" w:rsidTr="004627E0">
        <w:tc>
          <w:tcPr>
            <w:tcW w:w="1142" w:type="pct"/>
            <w:gridSpan w:val="2"/>
          </w:tcPr>
          <w:p w14:paraId="7347FF6D" w14:textId="2D7D33B5" w:rsidR="0095291E" w:rsidRPr="00F66630" w:rsidRDefault="002D7B66" w:rsidP="004627E0">
            <w:pPr>
              <w:pStyle w:val="BodyText"/>
              <w:contextualSpacing/>
              <w:rPr>
                <w:rFonts w:ascii="Times New Roman" w:hAnsi="Times New Roman" w:cs="Times New Roman"/>
              </w:rPr>
            </w:pPr>
            <w:r w:rsidRPr="00F66630">
              <w:rPr>
                <w:rFonts w:ascii="Times New Roman" w:hAnsi="Times New Roman" w:cs="Times New Roman"/>
                <w:b/>
                <w:bCs/>
              </w:rPr>
              <w:t>12</w:t>
            </w:r>
            <w:r w:rsidR="0095291E" w:rsidRPr="00F66630">
              <w:rPr>
                <w:rFonts w:ascii="Times New Roman" w:hAnsi="Times New Roman" w:cs="Times New Roman"/>
                <w:b/>
                <w:bCs/>
              </w:rPr>
              <w:t xml:space="preserve">.2. </w:t>
            </w:r>
            <w:r w:rsidR="0095291E" w:rsidRPr="00F66630">
              <w:rPr>
                <w:rFonts w:ascii="Times New Roman" w:hAnsi="Times New Roman" w:cs="Times New Roman"/>
              </w:rPr>
              <w:t xml:space="preserve">No later than June 30, 2021, the PPA has published on its official website a list of all contracts executed to support the Participating State’s COVID-19 response in the fourth quarter of FY 2020 and the first quarter of FY 2021; </w:t>
            </w:r>
            <w:r w:rsidR="0095291E" w:rsidRPr="00F66630">
              <w:rPr>
                <w:rFonts w:ascii="Times New Roman" w:hAnsi="Times New Roman" w:cs="Times New Roman"/>
              </w:rPr>
              <w:br/>
            </w:r>
          </w:p>
          <w:p w14:paraId="2C1EEB17" w14:textId="77777777" w:rsidR="0095291E" w:rsidRPr="00F66630" w:rsidRDefault="0095291E" w:rsidP="004627E0">
            <w:pPr>
              <w:pStyle w:val="BodyText"/>
              <w:spacing w:after="0"/>
              <w:contextualSpacing/>
              <w:rPr>
                <w:rFonts w:ascii="Times New Roman" w:hAnsi="Times New Roman" w:cs="Times New Roman"/>
              </w:rPr>
            </w:pPr>
            <w:r w:rsidRPr="00F66630">
              <w:rPr>
                <w:rFonts w:ascii="Times New Roman" w:hAnsi="Times New Roman" w:cs="Times New Roman"/>
              </w:rPr>
              <w:t>AND</w:t>
            </w:r>
          </w:p>
          <w:p w14:paraId="392D99D0" w14:textId="64BED0E5" w:rsidR="0095291E" w:rsidRPr="00F66630" w:rsidRDefault="0095291E" w:rsidP="004627E0">
            <w:pPr>
              <w:spacing w:after="120"/>
              <w:rPr>
                <w:rFonts w:ascii="Times New Roman" w:hAnsi="Times New Roman" w:cs="Times New Roman"/>
              </w:rPr>
            </w:pPr>
            <w:r w:rsidRPr="00F66630">
              <w:rPr>
                <w:rFonts w:ascii="Times New Roman" w:hAnsi="Times New Roman" w:cs="Times New Roman"/>
              </w:rPr>
              <w:t xml:space="preserve">No later than September 30, 2021, the Participating State has awarded at least 20 more contracts to SMEs in the period after September 30, 2020, as compared to the period January 1, </w:t>
            </w:r>
            <w:proofErr w:type="gramStart"/>
            <w:r w:rsidRPr="00F66630">
              <w:rPr>
                <w:rFonts w:ascii="Times New Roman" w:hAnsi="Times New Roman" w:cs="Times New Roman"/>
              </w:rPr>
              <w:t>2020</w:t>
            </w:r>
            <w:proofErr w:type="gramEnd"/>
            <w:r w:rsidRPr="00F66630">
              <w:rPr>
                <w:rFonts w:ascii="Times New Roman" w:hAnsi="Times New Roman" w:cs="Times New Roman"/>
              </w:rPr>
              <w:t xml:space="preserve"> to September 30, 2020.</w:t>
            </w:r>
          </w:p>
        </w:tc>
        <w:tc>
          <w:tcPr>
            <w:tcW w:w="3858" w:type="pct"/>
          </w:tcPr>
          <w:p w14:paraId="25728CD7" w14:textId="0760DA6E" w:rsidR="0095291E" w:rsidRPr="00F66630" w:rsidRDefault="0095291E" w:rsidP="004627E0">
            <w:pPr>
              <w:spacing w:after="120"/>
              <w:rPr>
                <w:rFonts w:ascii="Times New Roman" w:hAnsi="Times New Roman" w:cs="Times New Roman"/>
                <w:noProof/>
              </w:rPr>
            </w:pPr>
            <w:r w:rsidRPr="00F66630">
              <w:rPr>
                <w:rFonts w:ascii="Times New Roman" w:hAnsi="Times New Roman" w:cs="Times New Roman"/>
                <w:noProof/>
              </w:rPr>
              <w:t>To achieve this DL</w:t>
            </w:r>
            <w:r w:rsidR="00A024C8" w:rsidRPr="00F66630">
              <w:rPr>
                <w:rFonts w:ascii="Times New Roman" w:hAnsi="Times New Roman" w:cs="Times New Roman"/>
                <w:noProof/>
              </w:rPr>
              <w:t>R</w:t>
            </w:r>
            <w:r w:rsidRPr="00F66630">
              <w:rPr>
                <w:rFonts w:ascii="Times New Roman" w:hAnsi="Times New Roman" w:cs="Times New Roman"/>
                <w:noProof/>
              </w:rPr>
              <w:t>, ALL the following need to be achieved:</w:t>
            </w:r>
          </w:p>
          <w:p w14:paraId="16DDF48A" w14:textId="3B139E58" w:rsidR="0095291E" w:rsidRPr="00F66630" w:rsidRDefault="0095291E" w:rsidP="00E3445B">
            <w:pPr>
              <w:pStyle w:val="ListParagraph"/>
              <w:numPr>
                <w:ilvl w:val="0"/>
                <w:numId w:val="59"/>
              </w:numPr>
              <w:spacing w:after="120"/>
              <w:contextualSpacing w:val="0"/>
              <w:rPr>
                <w:rFonts w:ascii="Times New Roman" w:hAnsi="Times New Roman" w:cs="Times New Roman"/>
                <w:noProof/>
              </w:rPr>
            </w:pPr>
            <w:r w:rsidRPr="00F66630">
              <w:rPr>
                <w:rFonts w:ascii="Times New Roman" w:hAnsi="Times New Roman" w:cs="Times New Roman"/>
                <w:noProof/>
              </w:rPr>
              <w:t>Published on a quarterly basis on the State’s website information on contracts signed and completed* to support the state’s COVID-19 response for Q4 2020 and Q1 2021 by June 30, 2021</w:t>
            </w:r>
          </w:p>
          <w:p w14:paraId="5BFB02E9" w14:textId="7A600C7C" w:rsidR="0095291E" w:rsidRPr="00F66630" w:rsidRDefault="0095291E" w:rsidP="00E3445B">
            <w:pPr>
              <w:pStyle w:val="ListParagraph"/>
              <w:numPr>
                <w:ilvl w:val="0"/>
                <w:numId w:val="59"/>
              </w:numPr>
              <w:spacing w:after="120"/>
              <w:contextualSpacing w:val="0"/>
              <w:rPr>
                <w:rFonts w:ascii="Times New Roman" w:hAnsi="Times New Roman" w:cs="Times New Roman"/>
                <w:noProof/>
              </w:rPr>
            </w:pPr>
            <w:r w:rsidRPr="00F66630">
              <w:rPr>
                <w:rFonts w:ascii="Times New Roman" w:hAnsi="Times New Roman" w:cs="Times New Roman"/>
                <w:noProof/>
              </w:rPr>
              <w:t>Increased SME participation in the marketplace by having awarded at least 20 more contracts to SMEs in the period after the issuance of the guidelines (defined as after October 1, 2020 and up to September 30, 2021), compared to the period prior to the issuance of the guidelines (defined as January 1 to September 30, 2020). Participating SMEs in each state can be from any state in the country. Information on the contract award is to be published on the PPA or state official website or the eProcurement system of the state (if it exists). For each contract award publication, the minimum information on the contractor/supplier/service provider include the full name, the number of employees and the total assets in Naira</w:t>
            </w:r>
          </w:p>
          <w:p w14:paraId="47AB8800" w14:textId="77777777" w:rsidR="0095291E" w:rsidRPr="00F66630" w:rsidRDefault="0095291E" w:rsidP="004627E0">
            <w:pPr>
              <w:rPr>
                <w:rFonts w:ascii="Times New Roman" w:hAnsi="Times New Roman" w:cs="Times New Roman"/>
                <w:noProof/>
              </w:rPr>
            </w:pPr>
            <w:r w:rsidRPr="00F66630">
              <w:rPr>
                <w:rFonts w:ascii="Times New Roman" w:hAnsi="Times New Roman" w:cs="Times New Roman"/>
                <w:noProof/>
              </w:rPr>
              <w:t>*Information on contracts signed and completed to be published:</w:t>
            </w:r>
          </w:p>
          <w:p w14:paraId="1A8D3C4C" w14:textId="77777777" w:rsidR="0095291E" w:rsidRPr="00F66630" w:rsidRDefault="0095291E" w:rsidP="00E3445B">
            <w:pPr>
              <w:widowControl w:val="0"/>
              <w:numPr>
                <w:ilvl w:val="0"/>
                <w:numId w:val="60"/>
              </w:numPr>
              <w:autoSpaceDE w:val="0"/>
              <w:autoSpaceDN w:val="0"/>
              <w:adjustRightInd w:val="0"/>
              <w:rPr>
                <w:rFonts w:ascii="Times New Roman" w:hAnsi="Times New Roman" w:cs="Times New Roman"/>
                <w:noProof/>
              </w:rPr>
            </w:pPr>
            <w:r w:rsidRPr="00F66630">
              <w:rPr>
                <w:rFonts w:ascii="Times New Roman" w:hAnsi="Times New Roman" w:cs="Times New Roman"/>
                <w:noProof/>
              </w:rPr>
              <w:t xml:space="preserve">Name and address of the MDA undertaking the procurement, and if different, the Borrower’s contracting agency; </w:t>
            </w:r>
          </w:p>
          <w:p w14:paraId="374EF059" w14:textId="77777777" w:rsidR="0095291E" w:rsidRPr="00F66630" w:rsidRDefault="0095291E" w:rsidP="00E3445B">
            <w:pPr>
              <w:widowControl w:val="0"/>
              <w:numPr>
                <w:ilvl w:val="0"/>
                <w:numId w:val="60"/>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 xml:space="preserve">Name and reference number of the contract being awarded, and the selection method used; </w:t>
            </w:r>
          </w:p>
          <w:p w14:paraId="6A675DC5" w14:textId="77777777" w:rsidR="0095291E" w:rsidRPr="00F66630" w:rsidRDefault="0095291E" w:rsidP="00E3445B">
            <w:pPr>
              <w:widowControl w:val="0"/>
              <w:numPr>
                <w:ilvl w:val="0"/>
                <w:numId w:val="60"/>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 xml:space="preserve">Names of all Bidders/Proposers/Consultants that submitted Bids/Proposals, and their Bid/Proposal prices as read out at Bid/Proposal opening, and as evaluated; </w:t>
            </w:r>
          </w:p>
          <w:p w14:paraId="1A854DCC" w14:textId="77777777" w:rsidR="0095291E" w:rsidRPr="00F66630" w:rsidRDefault="0095291E" w:rsidP="00E3445B">
            <w:pPr>
              <w:widowControl w:val="0"/>
              <w:numPr>
                <w:ilvl w:val="0"/>
                <w:numId w:val="60"/>
              </w:numPr>
              <w:autoSpaceDE w:val="0"/>
              <w:autoSpaceDN w:val="0"/>
              <w:adjustRightInd w:val="0"/>
              <w:spacing w:line="256" w:lineRule="auto"/>
              <w:rPr>
                <w:rFonts w:ascii="Times New Roman" w:hAnsi="Times New Roman" w:cs="Times New Roman"/>
                <w:noProof/>
              </w:rPr>
            </w:pPr>
            <w:r w:rsidRPr="00F66630">
              <w:rPr>
                <w:rFonts w:ascii="Times New Roman" w:hAnsi="Times New Roman" w:cs="Times New Roman"/>
                <w:noProof/>
              </w:rPr>
              <w:t xml:space="preserve">The name of the successful Bidder/Proposer/Consultant, the final total contract price, the contract duration and a summary of its scope. </w:t>
            </w:r>
          </w:p>
          <w:p w14:paraId="07064EEC" w14:textId="77777777" w:rsidR="0095291E" w:rsidRPr="00F66630" w:rsidRDefault="0095291E" w:rsidP="004627E0">
            <w:pPr>
              <w:widowControl w:val="0"/>
              <w:autoSpaceDE w:val="0"/>
              <w:autoSpaceDN w:val="0"/>
              <w:adjustRightInd w:val="0"/>
              <w:spacing w:line="256" w:lineRule="auto"/>
              <w:ind w:left="360"/>
              <w:rPr>
                <w:rFonts w:ascii="Times New Roman" w:hAnsi="Times New Roman" w:cs="Times New Roman"/>
                <w:noProof/>
              </w:rPr>
            </w:pPr>
          </w:p>
        </w:tc>
      </w:tr>
      <w:tr w:rsidR="0095291E" w:rsidRPr="00F66630" w14:paraId="46CFF0BC" w14:textId="77777777" w:rsidTr="004627E0">
        <w:tc>
          <w:tcPr>
            <w:tcW w:w="5000" w:type="pct"/>
            <w:gridSpan w:val="3"/>
            <w:shd w:val="clear" w:color="auto" w:fill="FDE9D9" w:themeFill="accent6" w:themeFillTint="33"/>
          </w:tcPr>
          <w:p w14:paraId="7DD09ACF"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Data Source and Procedures to assess achievement</w:t>
            </w:r>
          </w:p>
        </w:tc>
      </w:tr>
      <w:tr w:rsidR="0095291E" w:rsidRPr="00F66630" w14:paraId="1DB57B5B" w14:textId="77777777" w:rsidTr="004627E0">
        <w:tc>
          <w:tcPr>
            <w:tcW w:w="5000" w:type="pct"/>
            <w:gridSpan w:val="3"/>
          </w:tcPr>
          <w:p w14:paraId="325327C0"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3B28C738"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hAnsi="Times New Roman" w:cs="Times New Roman"/>
                <w:sz w:val="22"/>
                <w:szCs w:val="22"/>
              </w:rPr>
              <w:t xml:space="preserve">State Ministry of Finance, Budget and Planning, State Procurement Agency </w:t>
            </w:r>
          </w:p>
          <w:p w14:paraId="057215B3"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such as SBIR, the PPA, the State House of Assembly, the Office of the Auditor-General for States.</w:t>
            </w:r>
          </w:p>
          <w:p w14:paraId="266F7A59" w14:textId="715282D5" w:rsidR="00B61F4C" w:rsidRPr="00F66630" w:rsidRDefault="00B61F4C" w:rsidP="00B61F4C">
            <w:pPr>
              <w:pStyle w:val="CommentText"/>
              <w:ind w:left="360"/>
              <w:rPr>
                <w:rFonts w:ascii="Times New Roman" w:hAnsi="Times New Roman" w:cs="Times New Roman"/>
                <w:sz w:val="22"/>
                <w:szCs w:val="22"/>
              </w:rPr>
            </w:pPr>
          </w:p>
        </w:tc>
      </w:tr>
      <w:tr w:rsidR="0095291E" w:rsidRPr="00F66630" w14:paraId="6B129A60" w14:textId="77777777" w:rsidTr="004627E0">
        <w:tc>
          <w:tcPr>
            <w:tcW w:w="5000" w:type="pct"/>
            <w:gridSpan w:val="3"/>
          </w:tcPr>
          <w:p w14:paraId="564A0F6D" w14:textId="77777777"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723E995E" w14:textId="77777777" w:rsidR="0095291E" w:rsidRPr="00F66630" w:rsidRDefault="0095291E" w:rsidP="00E3445B">
            <w:pPr>
              <w:pStyle w:val="ListParagraph"/>
              <w:numPr>
                <w:ilvl w:val="0"/>
                <w:numId w:val="58"/>
              </w:numPr>
              <w:spacing w:after="120"/>
              <w:rPr>
                <w:rFonts w:ascii="Times New Roman" w:hAnsi="Times New Roman" w:cs="Times New Roman"/>
              </w:rPr>
            </w:pPr>
            <w:r w:rsidRPr="00F66630">
              <w:rPr>
                <w:rFonts w:ascii="Times New Roman" w:hAnsi="Times New Roman" w:cs="Times New Roman"/>
              </w:rPr>
              <w:t>States to provide links to the published guidelines on the PPA or state website</w:t>
            </w:r>
          </w:p>
          <w:p w14:paraId="668EA401" w14:textId="77777777" w:rsidR="0095291E" w:rsidRPr="00F66630" w:rsidRDefault="0095291E" w:rsidP="00E3445B">
            <w:pPr>
              <w:pStyle w:val="ListParagraph"/>
              <w:numPr>
                <w:ilvl w:val="0"/>
                <w:numId w:val="58"/>
              </w:numPr>
              <w:spacing w:after="120"/>
              <w:rPr>
                <w:rFonts w:ascii="Times New Roman" w:hAnsi="Times New Roman" w:cs="Times New Roman"/>
              </w:rPr>
            </w:pPr>
            <w:r w:rsidRPr="00F66630">
              <w:rPr>
                <w:rFonts w:ascii="Times New Roman" w:hAnsi="Times New Roman" w:cs="Times New Roman"/>
              </w:rPr>
              <w:t>States to provide reports of training sessions conducted for SMEs on the guidelines</w:t>
            </w:r>
          </w:p>
          <w:p w14:paraId="0936BA1F" w14:textId="77777777" w:rsidR="0095291E" w:rsidRPr="00F66630" w:rsidRDefault="0095291E" w:rsidP="00E3445B">
            <w:pPr>
              <w:pStyle w:val="ListParagraph"/>
              <w:numPr>
                <w:ilvl w:val="0"/>
                <w:numId w:val="58"/>
              </w:numPr>
              <w:spacing w:after="120"/>
              <w:rPr>
                <w:rFonts w:ascii="Times New Roman" w:eastAsia="Calibri" w:hAnsi="Times New Roman" w:cs="Times New Roman"/>
                <w:noProof/>
              </w:rPr>
            </w:pPr>
            <w:r w:rsidRPr="00F66630">
              <w:rPr>
                <w:rFonts w:ascii="Times New Roman" w:hAnsi="Times New Roman" w:cs="Times New Roman"/>
              </w:rPr>
              <w:t>IVA to conduct tests for each of the required elements of the DLI</w:t>
            </w:r>
          </w:p>
          <w:p w14:paraId="138EDF20" w14:textId="77777777" w:rsidR="0095291E" w:rsidRPr="00F66630" w:rsidRDefault="0095291E" w:rsidP="00E3445B">
            <w:pPr>
              <w:pStyle w:val="ListParagraph"/>
              <w:numPr>
                <w:ilvl w:val="0"/>
                <w:numId w:val="58"/>
              </w:numPr>
              <w:spacing w:after="120"/>
              <w:rPr>
                <w:rFonts w:ascii="Times New Roman" w:eastAsia="Calibri" w:hAnsi="Times New Roman" w:cs="Times New Roman"/>
                <w:noProof/>
              </w:rPr>
            </w:pPr>
            <w:r w:rsidRPr="00F66630">
              <w:rPr>
                <w:rFonts w:ascii="Times New Roman" w:eastAsia="Calibri" w:hAnsi="Times New Roman" w:cs="Times New Roman"/>
                <w:noProof/>
              </w:rPr>
              <w:t>Verification will be carried out by IVA from contract award publication on the PPA or the official website or eProcurement system of the state</w:t>
            </w:r>
          </w:p>
        </w:tc>
      </w:tr>
    </w:tbl>
    <w:p w14:paraId="35EDEA03" w14:textId="77777777" w:rsidR="0095291E" w:rsidRPr="00F66630" w:rsidRDefault="0095291E"/>
    <w:p w14:paraId="42CDEEE4" w14:textId="77777777" w:rsidR="00B61F4C" w:rsidRPr="00F66630" w:rsidRDefault="00B61F4C">
      <w:r w:rsidRPr="00F66630">
        <w:br w:type="page"/>
      </w:r>
    </w:p>
    <w:tbl>
      <w:tblPr>
        <w:tblStyle w:val="TableGrid"/>
        <w:tblW w:w="5315" w:type="pct"/>
        <w:tblLook w:val="04A0" w:firstRow="1" w:lastRow="0" w:firstColumn="1" w:lastColumn="0" w:noHBand="0" w:noVBand="1"/>
      </w:tblPr>
      <w:tblGrid>
        <w:gridCol w:w="2426"/>
        <w:gridCol w:w="11340"/>
      </w:tblGrid>
      <w:tr w:rsidR="0095291E" w:rsidRPr="00F66630" w14:paraId="25968BB1" w14:textId="77777777" w:rsidTr="004627E0">
        <w:trPr>
          <w:trHeight w:val="206"/>
        </w:trPr>
        <w:tc>
          <w:tcPr>
            <w:tcW w:w="5000" w:type="pct"/>
            <w:gridSpan w:val="2"/>
            <w:shd w:val="clear" w:color="auto" w:fill="EAF1DD" w:themeFill="accent3" w:themeFillTint="33"/>
          </w:tcPr>
          <w:p w14:paraId="724ECEF1" w14:textId="641989F2" w:rsidR="00EF5BAC" w:rsidRPr="00F66630" w:rsidRDefault="00EF5BAC" w:rsidP="00C93D2C">
            <w:r w:rsidRPr="00F66630">
              <w:rPr>
                <w:rFonts w:ascii="Times New Roman" w:hAnsi="Times New Roman"/>
                <w:b/>
                <w:bCs/>
                <w:szCs w:val="24"/>
              </w:rPr>
              <w:lastRenderedPageBreak/>
              <w:t>DLI 13: Established a fiscally sustainable response to COVID-19 through COVID-19 responsive budgets</w:t>
            </w:r>
          </w:p>
          <w:p w14:paraId="51A7989C" w14:textId="51CBD79F" w:rsidR="0095291E" w:rsidRPr="00F66630" w:rsidRDefault="00EF5BAC" w:rsidP="00C93D2C">
            <w:pPr>
              <w:pStyle w:val="Heading3"/>
              <w:numPr>
                <w:ilvl w:val="0"/>
                <w:numId w:val="0"/>
              </w:numPr>
              <w:outlineLvl w:val="2"/>
              <w:rPr>
                <w:rFonts w:eastAsia="Calibri" w:cs="Times New Roman"/>
                <w:b w:val="0"/>
                <w:i/>
                <w:iCs/>
                <w:sz w:val="22"/>
                <w:szCs w:val="22"/>
              </w:rPr>
            </w:pPr>
            <w:bookmarkStart w:id="49" w:name="_Toc107345865"/>
            <w:r w:rsidRPr="00F66630">
              <w:rPr>
                <w:i/>
                <w:iCs/>
                <w:sz w:val="22"/>
                <w:szCs w:val="22"/>
              </w:rPr>
              <w:t>DLR 13.1</w:t>
            </w:r>
            <w:r w:rsidR="0095291E" w:rsidRPr="00F66630">
              <w:rPr>
                <w:i/>
                <w:iCs/>
                <w:sz w:val="22"/>
                <w:szCs w:val="22"/>
              </w:rPr>
              <w:t>: Published an approved Amended 2020 COVID-19 responsive budget</w:t>
            </w:r>
            <w:bookmarkEnd w:id="49"/>
          </w:p>
        </w:tc>
      </w:tr>
      <w:tr w:rsidR="0095291E" w:rsidRPr="00F66630" w14:paraId="342710B9" w14:textId="77777777" w:rsidTr="004627E0">
        <w:trPr>
          <w:trHeight w:val="470"/>
        </w:trPr>
        <w:tc>
          <w:tcPr>
            <w:tcW w:w="881" w:type="pct"/>
            <w:shd w:val="clear" w:color="auto" w:fill="FDE9D9" w:themeFill="accent6" w:themeFillTint="33"/>
          </w:tcPr>
          <w:p w14:paraId="1B79C8D0"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t>DLR description as per DLI Matrix</w:t>
            </w:r>
          </w:p>
        </w:tc>
        <w:tc>
          <w:tcPr>
            <w:tcW w:w="4119" w:type="pct"/>
            <w:shd w:val="clear" w:color="auto" w:fill="FDE9D9" w:themeFill="accent6" w:themeFillTint="33"/>
          </w:tcPr>
          <w:p w14:paraId="2A19A04A" w14:textId="77777777" w:rsidR="0095291E" w:rsidRPr="00F66630" w:rsidRDefault="0095291E" w:rsidP="004627E0">
            <w:pPr>
              <w:pStyle w:val="NoSpacing"/>
              <w:rPr>
                <w:rFonts w:ascii="Times New Roman" w:hAnsi="Times New Roman" w:cs="Times New Roman"/>
                <w:b/>
                <w:i/>
              </w:rPr>
            </w:pPr>
            <w:r w:rsidRPr="00F66630">
              <w:rPr>
                <w:rFonts w:ascii="Times New Roman" w:hAnsi="Times New Roman" w:cs="Times New Roman"/>
                <w:b/>
                <w:i/>
              </w:rPr>
              <w:t>Definition/Description of DLR achievement</w:t>
            </w:r>
          </w:p>
        </w:tc>
      </w:tr>
      <w:tr w:rsidR="0095291E" w:rsidRPr="00F66630" w14:paraId="19697B07" w14:textId="77777777" w:rsidTr="004627E0">
        <w:tc>
          <w:tcPr>
            <w:tcW w:w="881" w:type="pct"/>
          </w:tcPr>
          <w:p w14:paraId="59B95AE1" w14:textId="6D97D0B6" w:rsidR="0095291E" w:rsidRPr="00F66630" w:rsidRDefault="00E91F57" w:rsidP="004627E0">
            <w:pPr>
              <w:spacing w:after="120"/>
              <w:rPr>
                <w:rFonts w:ascii="Times New Roman" w:hAnsi="Times New Roman" w:cs="Times New Roman"/>
                <w:b/>
                <w:bCs/>
              </w:rPr>
            </w:pPr>
            <w:r w:rsidRPr="00F66630">
              <w:rPr>
                <w:rFonts w:ascii="Times New Roman" w:hAnsi="Times New Roman" w:cs="Times New Roman"/>
                <w:b/>
                <w:bCs/>
              </w:rPr>
              <w:t xml:space="preserve">13.1 </w:t>
            </w:r>
            <w:r w:rsidR="0095291E" w:rsidRPr="00F66630">
              <w:rPr>
                <w:rFonts w:ascii="Times New Roman" w:hAnsi="Times New Roman" w:cs="Times New Roman"/>
                <w:b/>
                <w:bCs/>
              </w:rPr>
              <w:t>No later than July 31, 2020, an Amended 2020 State budget, which meets the criteria set out in the Verification Protocol, has been approved by the House of Assembly of the Participating State, assented to by the Governor, and published on a State official website.</w:t>
            </w:r>
          </w:p>
          <w:p w14:paraId="36E04321" w14:textId="77777777" w:rsidR="0095291E" w:rsidRPr="00F66630" w:rsidRDefault="0095291E" w:rsidP="004627E0">
            <w:pPr>
              <w:rPr>
                <w:rFonts w:ascii="Times New Roman" w:eastAsia="Times New Roman" w:hAnsi="Times New Roman" w:cs="Times New Roman"/>
                <w:bCs/>
                <w:color w:val="000000"/>
              </w:rPr>
            </w:pPr>
          </w:p>
        </w:tc>
        <w:tc>
          <w:tcPr>
            <w:tcW w:w="4119" w:type="pct"/>
          </w:tcPr>
          <w:p w14:paraId="547C1736" w14:textId="77777777" w:rsidR="0095291E" w:rsidRPr="00F66630" w:rsidRDefault="0095291E" w:rsidP="004627E0">
            <w:pPr>
              <w:pStyle w:val="NoSpacing"/>
              <w:spacing w:after="120"/>
              <w:rPr>
                <w:rFonts w:ascii="Times New Roman" w:hAnsi="Times New Roman" w:cs="Times New Roman"/>
                <w:iCs/>
              </w:rPr>
            </w:pPr>
            <w:r w:rsidRPr="00F66630">
              <w:rPr>
                <w:rFonts w:ascii="Times New Roman" w:hAnsi="Times New Roman" w:cs="Times New Roman"/>
                <w:bCs/>
                <w:iCs/>
              </w:rPr>
              <w:t>To achieve this DLI, ALL the following need to be achieved:</w:t>
            </w:r>
          </w:p>
          <w:p w14:paraId="379364BC" w14:textId="577C481B" w:rsidR="0095291E" w:rsidRPr="00F66630" w:rsidRDefault="0095291E" w:rsidP="00E3445B">
            <w:pPr>
              <w:pStyle w:val="ListParagraph"/>
              <w:numPr>
                <w:ilvl w:val="0"/>
                <w:numId w:val="57"/>
              </w:numPr>
              <w:spacing w:after="120"/>
              <w:rPr>
                <w:rFonts w:ascii="Times New Roman" w:hAnsi="Times New Roman" w:cs="Times New Roman"/>
              </w:rPr>
            </w:pPr>
            <w:r w:rsidRPr="00F66630">
              <w:rPr>
                <w:rFonts w:ascii="Times New Roman" w:hAnsi="Times New Roman" w:cs="Times New Roman"/>
              </w:rPr>
              <w:t xml:space="preserve">The Amended budget has been approved by the State House of Assembly, obtained the Governor’s </w:t>
            </w:r>
            <w:proofErr w:type="gramStart"/>
            <w:r w:rsidRPr="00F66630">
              <w:rPr>
                <w:rFonts w:ascii="Times New Roman" w:hAnsi="Times New Roman" w:cs="Times New Roman"/>
              </w:rPr>
              <w:t>assent</w:t>
            </w:r>
            <w:proofErr w:type="gramEnd"/>
            <w:r w:rsidRPr="00F66630">
              <w:rPr>
                <w:rFonts w:ascii="Times New Roman" w:hAnsi="Times New Roman" w:cs="Times New Roman"/>
              </w:rPr>
              <w:t xml:space="preserve"> and published online on a State official website by July 31, 2020.</w:t>
            </w:r>
          </w:p>
          <w:p w14:paraId="2C8C4C47" w14:textId="77777777" w:rsidR="0095291E" w:rsidRPr="00F66630" w:rsidRDefault="0095291E" w:rsidP="004627E0">
            <w:pPr>
              <w:pStyle w:val="ListParagraph"/>
              <w:spacing w:after="120"/>
              <w:ind w:left="360"/>
              <w:rPr>
                <w:rFonts w:ascii="Times New Roman" w:hAnsi="Times New Roman" w:cs="Times New Roman"/>
              </w:rPr>
            </w:pPr>
          </w:p>
          <w:p w14:paraId="1D56FA50" w14:textId="77777777" w:rsidR="0095291E" w:rsidRPr="00F66630" w:rsidRDefault="0095291E" w:rsidP="00E3445B">
            <w:pPr>
              <w:pStyle w:val="ListParagraph"/>
              <w:numPr>
                <w:ilvl w:val="0"/>
                <w:numId w:val="57"/>
              </w:numPr>
              <w:spacing w:after="120"/>
              <w:rPr>
                <w:rFonts w:ascii="Times New Roman" w:hAnsi="Times New Roman" w:cs="Times New Roman"/>
              </w:rPr>
            </w:pPr>
            <w:r w:rsidRPr="00F66630">
              <w:rPr>
                <w:rFonts w:ascii="Times New Roman" w:hAnsi="Times New Roman" w:cs="Times New Roman"/>
              </w:rPr>
              <w:t>The Amended budget contains all four required elements:</w:t>
            </w:r>
          </w:p>
          <w:p w14:paraId="2CCDA395" w14:textId="77777777" w:rsidR="0095291E" w:rsidRPr="00F66630" w:rsidRDefault="0095291E" w:rsidP="00E3445B">
            <w:pPr>
              <w:pStyle w:val="ListParagraph"/>
              <w:widowControl w:val="0"/>
              <w:numPr>
                <w:ilvl w:val="0"/>
                <w:numId w:val="50"/>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Revision of the gross statutory (federation account) allocation projections, compared to the original budget, with the state’s gross statutory allocation projections in the amended 2020 budget not exceeding the NGF projections using the parameters of the FG Addendum to the Medium-Term Expenditure Framework (MTEF) 2020-2022 submitted to the National Assembly in May 2020, disseminated to states in June 2020.</w:t>
            </w:r>
          </w:p>
          <w:p w14:paraId="680960C5" w14:textId="77777777" w:rsidR="0095291E" w:rsidRPr="00F66630" w:rsidRDefault="0095291E" w:rsidP="00E3445B">
            <w:pPr>
              <w:pStyle w:val="ListParagraph"/>
              <w:widowControl w:val="0"/>
              <w:numPr>
                <w:ilvl w:val="0"/>
                <w:numId w:val="50"/>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Reduction in non-essential* overheads and capital expenditures, compared to the original budget; the reduction in non-essential spending should be proportional to the amount of the revenue reduction plus the additional COVID-19 responsive expenditures, unless additional financing can be identified.  </w:t>
            </w:r>
          </w:p>
          <w:p w14:paraId="4AD25702" w14:textId="77777777" w:rsidR="0095291E" w:rsidRPr="00F66630" w:rsidRDefault="0095291E" w:rsidP="00E3445B">
            <w:pPr>
              <w:pStyle w:val="ListParagraph"/>
              <w:widowControl w:val="0"/>
              <w:numPr>
                <w:ilvl w:val="0"/>
                <w:numId w:val="50"/>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Allocation of expenditures to COVID-19 response programs for relief, restructuring and recovery. Total COVID-19 response expenditures should represent at least 10 percent of the total amended budget expenditures.</w:t>
            </w:r>
          </w:p>
          <w:p w14:paraId="0260C1B8" w14:textId="77777777" w:rsidR="0095291E" w:rsidRPr="00F66630" w:rsidRDefault="0095291E" w:rsidP="00E3445B">
            <w:pPr>
              <w:pStyle w:val="ListParagraph"/>
              <w:widowControl w:val="0"/>
              <w:numPr>
                <w:ilvl w:val="0"/>
                <w:numId w:val="50"/>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Identification of the financing sources to fully finance the budget deficit without accumulation of new domestic expenditure arrears. The financing gap should be zero.**</w:t>
            </w:r>
          </w:p>
          <w:p w14:paraId="54F46917"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noProof/>
                <w:color w:val="000000"/>
              </w:rPr>
            </w:pPr>
          </w:p>
          <w:p w14:paraId="3F706881" w14:textId="77777777" w:rsidR="0095291E" w:rsidRPr="00F66630" w:rsidRDefault="0095291E" w:rsidP="00E3445B">
            <w:pPr>
              <w:pStyle w:val="ListParagraph"/>
              <w:numPr>
                <w:ilvl w:val="0"/>
                <w:numId w:val="57"/>
              </w:numPr>
              <w:spacing w:after="120"/>
              <w:rPr>
                <w:rFonts w:ascii="Times New Roman" w:hAnsi="Times New Roman" w:cs="Times New Roman"/>
              </w:rPr>
            </w:pPr>
            <w:r w:rsidRPr="00F66630">
              <w:rPr>
                <w:rFonts w:ascii="Times New Roman" w:hAnsi="Times New Roman" w:cs="Times New Roman"/>
              </w:rPr>
              <w:t>The four required elements are to be demonstrated through the required inclusion of the following in the Amended budget document:</w:t>
            </w:r>
          </w:p>
          <w:p w14:paraId="566602D7" w14:textId="77777777" w:rsidR="0095291E" w:rsidRPr="00F66630" w:rsidRDefault="0095291E" w:rsidP="00E3445B">
            <w:pPr>
              <w:pStyle w:val="ListParagraph"/>
              <w:widowControl w:val="0"/>
              <w:numPr>
                <w:ilvl w:val="0"/>
                <w:numId w:val="51"/>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The detailed budget expenditure allocation table should tag in a separate column, each budget line item as either COVID-responsive or not.</w:t>
            </w:r>
          </w:p>
          <w:p w14:paraId="2287D41D" w14:textId="77777777" w:rsidR="0095291E" w:rsidRPr="00F66630" w:rsidRDefault="0095291E" w:rsidP="00E3445B">
            <w:pPr>
              <w:pStyle w:val="ListParagraph"/>
              <w:widowControl w:val="0"/>
              <w:numPr>
                <w:ilvl w:val="0"/>
                <w:numId w:val="51"/>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A Summary Table showing in separate columns: original budget projection/allocation, amended budget projection/allocation. The two sets of numbers will be reported for all items (revenue, expenditures, and financing). An additional third column would report, for each summary heading of expenditures, the amount of that expenditure that is COVID-19 responsive, which should be a summary of the expenditure identified in the detailed budget expenditure allocation table. </w:t>
            </w:r>
          </w:p>
          <w:p w14:paraId="4FE1267D" w14:textId="77777777" w:rsidR="0095291E" w:rsidRPr="00F66630" w:rsidRDefault="0095291E" w:rsidP="00E3445B">
            <w:pPr>
              <w:pStyle w:val="ListParagraph"/>
              <w:widowControl w:val="0"/>
              <w:numPr>
                <w:ilvl w:val="0"/>
                <w:numId w:val="51"/>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Explanatory note (1) for revisions of revenue projections for each key revenue item, including the underlying assumptions behind the revisions and how they differ from the assumptions in the original budget. Assumptions include oil price, production, exchange rate, GDP growth, inflation, and other relevant parameters.</w:t>
            </w:r>
          </w:p>
          <w:p w14:paraId="0B8E6DF8" w14:textId="77777777" w:rsidR="0095291E" w:rsidRPr="00F66630" w:rsidRDefault="0095291E" w:rsidP="00E3445B">
            <w:pPr>
              <w:pStyle w:val="ListParagraph"/>
              <w:widowControl w:val="0"/>
              <w:numPr>
                <w:ilvl w:val="0"/>
                <w:numId w:val="51"/>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lastRenderedPageBreak/>
              <w:t>Explanatory note (2) for key expenditure allocations, providing the rationale for which non-critical, non-COVID responsive programs/projects were subject to reduction, which were maintained as critical expenditures (non COVID-19 response), and which have increased and/or were newly introduced as part of the state’s COVID-19 response.</w:t>
            </w:r>
          </w:p>
          <w:p w14:paraId="721D6D6D" w14:textId="77777777" w:rsidR="0095291E" w:rsidRPr="00F66630" w:rsidRDefault="0095291E" w:rsidP="00E3445B">
            <w:pPr>
              <w:pStyle w:val="ListParagraph"/>
              <w:widowControl w:val="0"/>
              <w:numPr>
                <w:ilvl w:val="0"/>
                <w:numId w:val="51"/>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Explanatory note (3)  for any adjustments to financing items, sources, and/or amounts.</w:t>
            </w:r>
          </w:p>
          <w:p w14:paraId="6DFBE07C"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noProof/>
                <w:color w:val="000000"/>
              </w:rPr>
            </w:pPr>
          </w:p>
          <w:p w14:paraId="72DFF8D8"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Where clarification is needed, the verification can use the full budget documentation.</w:t>
            </w:r>
          </w:p>
          <w:p w14:paraId="155A63CB"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noProof/>
                <w:color w:val="000000"/>
              </w:rPr>
            </w:pPr>
          </w:p>
          <w:p w14:paraId="47B316D2"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i/>
                <w:iCs/>
                <w:noProof/>
                <w:color w:val="000000"/>
                <w:u w:val="single"/>
              </w:rPr>
            </w:pPr>
            <w:r w:rsidRPr="00F66630">
              <w:rPr>
                <w:rFonts w:ascii="Times New Roman" w:eastAsia="Times New Roman" w:hAnsi="Times New Roman" w:cs="Times New Roman"/>
                <w:i/>
                <w:iCs/>
                <w:noProof/>
                <w:color w:val="000000"/>
                <w:u w:val="single"/>
              </w:rPr>
              <w:t>Definitions</w:t>
            </w:r>
          </w:p>
          <w:p w14:paraId="3C7F5958" w14:textId="77777777" w:rsidR="0095291E" w:rsidRPr="00F66630" w:rsidRDefault="0095291E" w:rsidP="004627E0">
            <w:pPr>
              <w:widowControl w:val="0"/>
              <w:autoSpaceDE w:val="0"/>
              <w:autoSpaceDN w:val="0"/>
              <w:adjustRightInd w:val="0"/>
              <w:spacing w:line="256" w:lineRule="auto"/>
              <w:rPr>
                <w:rFonts w:ascii="Times New Roman" w:eastAsia="Times New Roman" w:hAnsi="Times New Roman" w:cs="Times New Roman"/>
                <w:i/>
                <w:iCs/>
                <w:noProof/>
                <w:color w:val="000000"/>
              </w:rPr>
            </w:pPr>
            <w:r w:rsidRPr="00F66630">
              <w:rPr>
                <w:rFonts w:ascii="Times New Roman" w:eastAsia="Times New Roman" w:hAnsi="Times New Roman" w:cs="Times New Roman"/>
                <w:i/>
                <w:iCs/>
                <w:noProof/>
                <w:color w:val="000000"/>
              </w:rPr>
              <w:t>*’Non-essential spending’ refers to non-priority spending at the discretion of the state that can be reduced or re-scheduled without negatively impacting state’s ability to respond to COVID-19 pandemic, impeding core government functions, or limiting provision of essential public services.</w:t>
            </w:r>
          </w:p>
          <w:p w14:paraId="7C9363C0" w14:textId="77777777" w:rsidR="0095291E" w:rsidRPr="00F66630" w:rsidRDefault="0095291E" w:rsidP="004627E0">
            <w:pPr>
              <w:widowControl w:val="0"/>
              <w:autoSpaceDE w:val="0"/>
              <w:autoSpaceDN w:val="0"/>
              <w:adjustRightInd w:val="0"/>
              <w:ind w:right="90"/>
              <w:rPr>
                <w:rFonts w:ascii="Times New Roman" w:eastAsia="Times New Roman" w:hAnsi="Times New Roman" w:cs="Times New Roman"/>
                <w:i/>
                <w:iCs/>
                <w:noProof/>
                <w:color w:val="000000"/>
              </w:rPr>
            </w:pPr>
            <w:r w:rsidRPr="00F66630">
              <w:rPr>
                <w:rFonts w:ascii="Times New Roman" w:eastAsia="Times New Roman" w:hAnsi="Times New Roman" w:cs="Times New Roman"/>
                <w:i/>
                <w:iCs/>
                <w:noProof/>
                <w:color w:val="000000"/>
              </w:rPr>
              <w:t>** In rare cases, financing gap may be negative (when more financing is identified for the budget than the deficit). This will not be penalized, as the key objective is for the financing gap to not exceed zero.</w:t>
            </w:r>
          </w:p>
          <w:p w14:paraId="3D66B456" w14:textId="77777777" w:rsidR="0095291E" w:rsidRPr="00F66630" w:rsidRDefault="0095291E" w:rsidP="004627E0">
            <w:pPr>
              <w:widowControl w:val="0"/>
              <w:autoSpaceDE w:val="0"/>
              <w:autoSpaceDN w:val="0"/>
              <w:adjustRightInd w:val="0"/>
              <w:ind w:right="90"/>
              <w:rPr>
                <w:rFonts w:ascii="Times New Roman" w:eastAsia="Times New Roman" w:hAnsi="Times New Roman" w:cs="Times New Roman"/>
                <w:i/>
                <w:iCs/>
                <w:noProof/>
                <w:color w:val="000000"/>
              </w:rPr>
            </w:pPr>
          </w:p>
          <w:p w14:paraId="28211D30" w14:textId="77777777" w:rsidR="0095291E" w:rsidRPr="00F66630" w:rsidRDefault="0095291E" w:rsidP="004627E0">
            <w:pPr>
              <w:widowControl w:val="0"/>
              <w:autoSpaceDE w:val="0"/>
              <w:autoSpaceDN w:val="0"/>
              <w:adjustRightInd w:val="0"/>
              <w:ind w:right="90"/>
              <w:rPr>
                <w:rFonts w:ascii="Times New Roman" w:eastAsia="Times New Roman" w:hAnsi="Times New Roman" w:cs="Times New Roman"/>
                <w:i/>
                <w:iCs/>
                <w:noProof/>
                <w:color w:val="000000"/>
              </w:rPr>
            </w:pPr>
            <w:r w:rsidRPr="00F66630">
              <w:rPr>
                <w:rFonts w:ascii="Times New Roman" w:eastAsia="Times New Roman" w:hAnsi="Times New Roman" w:cs="Times New Roman"/>
                <w:i/>
                <w:iCs/>
                <w:noProof/>
                <w:color w:val="000000"/>
              </w:rPr>
              <w:t>Other definitions for the four required elements are provided in the detailed set of guidelines disseminated to States in June 2020.</w:t>
            </w:r>
          </w:p>
        </w:tc>
      </w:tr>
      <w:tr w:rsidR="0095291E" w:rsidRPr="00F66630" w14:paraId="1579FE78" w14:textId="77777777" w:rsidTr="004627E0">
        <w:tc>
          <w:tcPr>
            <w:tcW w:w="5000" w:type="pct"/>
            <w:gridSpan w:val="2"/>
            <w:shd w:val="clear" w:color="auto" w:fill="FDE9D9" w:themeFill="accent6" w:themeFillTint="33"/>
          </w:tcPr>
          <w:p w14:paraId="7EA1850B" w14:textId="77777777" w:rsidR="0095291E" w:rsidRPr="00F66630" w:rsidRDefault="0095291E" w:rsidP="004627E0">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p>
        </w:tc>
      </w:tr>
      <w:tr w:rsidR="0095291E" w:rsidRPr="00F66630" w14:paraId="373B7D17" w14:textId="77777777" w:rsidTr="004627E0">
        <w:tc>
          <w:tcPr>
            <w:tcW w:w="5000" w:type="pct"/>
            <w:gridSpan w:val="2"/>
          </w:tcPr>
          <w:p w14:paraId="042404A9" w14:textId="77777777" w:rsidR="0095291E" w:rsidRPr="00F66630" w:rsidRDefault="0095291E"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74D36A4F"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 </w:t>
            </w:r>
          </w:p>
          <w:p w14:paraId="6DA24B43" w14:textId="77777777" w:rsidR="0095291E" w:rsidRPr="00F66630" w:rsidRDefault="0095291E"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the State House of Assembly, the Office of the Auditor-General for States.</w:t>
            </w:r>
          </w:p>
          <w:p w14:paraId="062E3F35" w14:textId="77777777" w:rsidR="0095291E" w:rsidRPr="00F66630" w:rsidRDefault="0095291E" w:rsidP="004627E0">
            <w:pPr>
              <w:pStyle w:val="CommentText"/>
              <w:ind w:left="360"/>
              <w:rPr>
                <w:rFonts w:ascii="Times New Roman" w:hAnsi="Times New Roman" w:cs="Times New Roman"/>
                <w:sz w:val="22"/>
                <w:szCs w:val="22"/>
              </w:rPr>
            </w:pPr>
          </w:p>
        </w:tc>
      </w:tr>
      <w:tr w:rsidR="0095291E" w:rsidRPr="00F66630" w14:paraId="2BD66584" w14:textId="77777777" w:rsidTr="004627E0">
        <w:tc>
          <w:tcPr>
            <w:tcW w:w="5000" w:type="pct"/>
            <w:gridSpan w:val="2"/>
          </w:tcPr>
          <w:p w14:paraId="003AB4F9" w14:textId="77777777" w:rsidR="0095291E" w:rsidRPr="00F66630" w:rsidRDefault="0095291E"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673D7139" w14:textId="77777777" w:rsidR="0095291E" w:rsidRPr="00F66630" w:rsidRDefault="0095291E" w:rsidP="004627E0">
            <w:pPr>
              <w:jc w:val="both"/>
              <w:rPr>
                <w:rFonts w:ascii="Times New Roman" w:eastAsia="Times New Roman" w:hAnsi="Times New Roman" w:cs="Times New Roman"/>
                <w:color w:val="000000"/>
              </w:rPr>
            </w:pPr>
          </w:p>
          <w:p w14:paraId="3B2D7D76" w14:textId="77777777" w:rsidR="0095291E" w:rsidRPr="00F66630" w:rsidRDefault="0095291E" w:rsidP="004627E0">
            <w:pPr>
              <w:spacing w:after="120"/>
              <w:contextualSpacing/>
              <w:rPr>
                <w:rFonts w:ascii="Times New Roman" w:hAnsi="Times New Roman" w:cs="Times New Roman"/>
              </w:rPr>
            </w:pPr>
            <w:r w:rsidRPr="00F66630">
              <w:rPr>
                <w:rFonts w:ascii="Times New Roman" w:hAnsi="Times New Roman" w:cs="Times New Roman"/>
              </w:rPr>
              <w:t>The IVA will carry out the following for each State:</w:t>
            </w:r>
          </w:p>
          <w:p w14:paraId="5B32F35A" w14:textId="77777777" w:rsidR="0095291E" w:rsidRPr="00F66630" w:rsidRDefault="0095291E" w:rsidP="00E3445B">
            <w:pPr>
              <w:pStyle w:val="ListParagraph"/>
              <w:numPr>
                <w:ilvl w:val="0"/>
                <w:numId w:val="49"/>
              </w:numPr>
              <w:spacing w:after="120"/>
              <w:rPr>
                <w:rFonts w:ascii="Times New Roman" w:hAnsi="Times New Roman" w:cs="Times New Roman"/>
              </w:rPr>
            </w:pPr>
            <w:r w:rsidRPr="00F66630">
              <w:rPr>
                <w:rFonts w:ascii="Times New Roman" w:hAnsi="Times New Roman" w:cs="Times New Roman"/>
              </w:rPr>
              <w:t>Download the Amended FY2020 State Budget from the State official website</w:t>
            </w:r>
          </w:p>
          <w:p w14:paraId="4CAEBB95" w14:textId="77777777" w:rsidR="0095291E" w:rsidRPr="00F66630" w:rsidRDefault="0095291E" w:rsidP="00E3445B">
            <w:pPr>
              <w:pStyle w:val="ListParagraph"/>
              <w:numPr>
                <w:ilvl w:val="0"/>
                <w:numId w:val="49"/>
              </w:numPr>
              <w:spacing w:after="120"/>
              <w:rPr>
                <w:rFonts w:ascii="Times New Roman" w:hAnsi="Times New Roman" w:cs="Times New Roman"/>
              </w:rPr>
            </w:pPr>
            <w:r w:rsidRPr="00F66630">
              <w:rPr>
                <w:rFonts w:ascii="Times New Roman" w:hAnsi="Times New Roman" w:cs="Times New Roman"/>
              </w:rPr>
              <w:t>Confirm the budget has been passed into law (approved by State House of Assembly and assented by the Governor); confirm this was achieved on or before July 31, 2020.</w:t>
            </w:r>
          </w:p>
          <w:p w14:paraId="665F0E94" w14:textId="66AF736F" w:rsidR="0095291E" w:rsidRPr="00F66630" w:rsidRDefault="0095291E" w:rsidP="00E3445B">
            <w:pPr>
              <w:pStyle w:val="ListParagraph"/>
              <w:numPr>
                <w:ilvl w:val="0"/>
                <w:numId w:val="49"/>
              </w:numPr>
              <w:spacing w:after="120"/>
              <w:rPr>
                <w:rFonts w:ascii="Times New Roman" w:hAnsi="Times New Roman" w:cs="Times New Roman"/>
              </w:rPr>
            </w:pPr>
            <w:r w:rsidRPr="00F66630">
              <w:rPr>
                <w:rFonts w:ascii="Times New Roman" w:hAnsi="Times New Roman" w:cs="Times New Roman"/>
              </w:rPr>
              <w:t>Confirm that the budget includes appropriations according to the functional/organizational and detailed economic classifications of expenditures</w:t>
            </w:r>
            <w:r w:rsidR="004B2F4E" w:rsidRPr="00F66630">
              <w:rPr>
                <w:rFonts w:ascii="Times New Roman" w:hAnsi="Times New Roman" w:cs="Times New Roman"/>
              </w:rPr>
              <w:t>,</w:t>
            </w:r>
            <w:r w:rsidRPr="00F66630">
              <w:rPr>
                <w:rFonts w:ascii="Times New Roman" w:hAnsi="Times New Roman" w:cs="Times New Roman"/>
              </w:rPr>
              <w:t xml:space="preserve"> and revenue sources.</w:t>
            </w:r>
          </w:p>
          <w:p w14:paraId="67BF4098" w14:textId="77777777" w:rsidR="0095291E" w:rsidRPr="00F66630" w:rsidRDefault="0095291E" w:rsidP="00E3445B">
            <w:pPr>
              <w:pStyle w:val="ListParagraph"/>
              <w:numPr>
                <w:ilvl w:val="0"/>
                <w:numId w:val="49"/>
              </w:numPr>
              <w:spacing w:after="120"/>
              <w:rPr>
                <w:rFonts w:ascii="Times New Roman" w:hAnsi="Times New Roman" w:cs="Times New Roman"/>
              </w:rPr>
            </w:pPr>
            <w:r w:rsidRPr="00F66630">
              <w:rPr>
                <w:rFonts w:ascii="Times New Roman" w:hAnsi="Times New Roman" w:cs="Times New Roman"/>
              </w:rPr>
              <w:t>Confirm the budget contains the detailed budget expenditure allocation table with line items tagged (in a separate column) as either COVID-responsive, or not, the summary table and three (3) sets of explanatory notes as required by the verification protocols.</w:t>
            </w:r>
          </w:p>
          <w:p w14:paraId="2F1DF896" w14:textId="77777777" w:rsidR="0095291E" w:rsidRPr="00F66630" w:rsidRDefault="0095291E" w:rsidP="00E3445B">
            <w:pPr>
              <w:pStyle w:val="ListParagraph"/>
              <w:numPr>
                <w:ilvl w:val="0"/>
                <w:numId w:val="49"/>
              </w:numPr>
              <w:spacing w:after="120"/>
              <w:rPr>
                <w:rFonts w:ascii="Times New Roman" w:hAnsi="Times New Roman" w:cs="Times New Roman"/>
              </w:rPr>
            </w:pPr>
            <w:r w:rsidRPr="00F66630">
              <w:rPr>
                <w:rFonts w:ascii="Times New Roman" w:hAnsi="Times New Roman" w:cs="Times New Roman"/>
              </w:rPr>
              <w:t>Conduct tests for each of the (four) required elements of the amended budget in the DLI definition, checking against the DLI guidelines as required.</w:t>
            </w:r>
          </w:p>
        </w:tc>
      </w:tr>
    </w:tbl>
    <w:p w14:paraId="192258BF" w14:textId="77777777" w:rsidR="00C93D2C" w:rsidRPr="00F66630" w:rsidRDefault="00C93D2C">
      <w:r w:rsidRPr="00F66630">
        <w:br w:type="page"/>
      </w:r>
    </w:p>
    <w:tbl>
      <w:tblPr>
        <w:tblStyle w:val="TableGrid"/>
        <w:tblW w:w="5315" w:type="pct"/>
        <w:tblLook w:val="04A0" w:firstRow="1" w:lastRow="0" w:firstColumn="1" w:lastColumn="0" w:noHBand="0" w:noVBand="1"/>
      </w:tblPr>
      <w:tblGrid>
        <w:gridCol w:w="13766"/>
      </w:tblGrid>
      <w:tr w:rsidR="00896B2F" w:rsidRPr="00F66630" w14:paraId="3CCA77C1" w14:textId="77777777" w:rsidTr="004627E0">
        <w:trPr>
          <w:trHeight w:val="206"/>
        </w:trPr>
        <w:tc>
          <w:tcPr>
            <w:tcW w:w="5000" w:type="pct"/>
            <w:shd w:val="clear" w:color="auto" w:fill="EAF1DD" w:themeFill="accent3" w:themeFillTint="33"/>
          </w:tcPr>
          <w:p w14:paraId="7080C037" w14:textId="49DC07C1" w:rsidR="00896B2F" w:rsidRPr="00F66630" w:rsidRDefault="00896B2F" w:rsidP="00C93D2C">
            <w:r w:rsidRPr="00F66630">
              <w:rPr>
                <w:rFonts w:ascii="Times New Roman" w:hAnsi="Times New Roman"/>
                <w:b/>
                <w:bCs/>
                <w:szCs w:val="24"/>
              </w:rPr>
              <w:lastRenderedPageBreak/>
              <w:t>DLI 13: Established a fiscally sustainable response to COVID-19 through COVID-19 responsive budgets</w:t>
            </w:r>
          </w:p>
          <w:p w14:paraId="165B048E" w14:textId="1E7EAE66" w:rsidR="00896B2F" w:rsidRPr="00F66630" w:rsidRDefault="00896B2F" w:rsidP="00C93D2C">
            <w:pPr>
              <w:pStyle w:val="Heading3"/>
              <w:numPr>
                <w:ilvl w:val="0"/>
                <w:numId w:val="0"/>
              </w:numPr>
              <w:outlineLvl w:val="2"/>
              <w:rPr>
                <w:rFonts w:eastAsia="Calibri" w:cs="Times New Roman"/>
                <w:b w:val="0"/>
                <w:i/>
                <w:iCs/>
                <w:sz w:val="22"/>
                <w:szCs w:val="22"/>
              </w:rPr>
            </w:pPr>
            <w:bookmarkStart w:id="50" w:name="_Toc107345866"/>
            <w:r w:rsidRPr="00F66630">
              <w:rPr>
                <w:i/>
                <w:iCs/>
                <w:sz w:val="22"/>
                <w:szCs w:val="22"/>
              </w:rPr>
              <w:t>DLR</w:t>
            </w:r>
            <w:r w:rsidR="0056788A" w:rsidRPr="00F66630">
              <w:rPr>
                <w:i/>
                <w:iCs/>
                <w:sz w:val="22"/>
                <w:szCs w:val="22"/>
              </w:rPr>
              <w:t>s</w:t>
            </w:r>
            <w:r w:rsidRPr="00F66630">
              <w:rPr>
                <w:i/>
                <w:iCs/>
                <w:sz w:val="22"/>
                <w:szCs w:val="22"/>
              </w:rPr>
              <w:t xml:space="preserve"> 13.2 and 13.3</w:t>
            </w:r>
            <w:r w:rsidR="004A2230" w:rsidRPr="00F66630">
              <w:rPr>
                <w:i/>
                <w:iCs/>
                <w:sz w:val="22"/>
                <w:szCs w:val="22"/>
              </w:rPr>
              <w:t xml:space="preserve"> High budget execution of COVID-19 </w:t>
            </w:r>
            <w:r w:rsidR="0056788A" w:rsidRPr="00F66630">
              <w:rPr>
                <w:i/>
                <w:iCs/>
                <w:sz w:val="22"/>
                <w:szCs w:val="22"/>
              </w:rPr>
              <w:t xml:space="preserve">response </w:t>
            </w:r>
            <w:r w:rsidR="004A2230" w:rsidRPr="00F66630">
              <w:rPr>
                <w:i/>
                <w:iCs/>
                <w:sz w:val="22"/>
                <w:szCs w:val="22"/>
              </w:rPr>
              <w:t>expenditures</w:t>
            </w:r>
            <w:bookmarkEnd w:id="50"/>
          </w:p>
        </w:tc>
      </w:tr>
    </w:tbl>
    <w:tbl>
      <w:tblPr>
        <w:tblStyle w:val="TableGridCFAA1"/>
        <w:tblW w:w="5315" w:type="pct"/>
        <w:tblLook w:val="04A0" w:firstRow="1" w:lastRow="0" w:firstColumn="1" w:lastColumn="0" w:noHBand="0" w:noVBand="1"/>
      </w:tblPr>
      <w:tblGrid>
        <w:gridCol w:w="2426"/>
        <w:gridCol w:w="11340"/>
      </w:tblGrid>
      <w:tr w:rsidR="00484C33" w:rsidRPr="00F66630" w14:paraId="7DC3BD65" w14:textId="77777777" w:rsidTr="004627E0">
        <w:trPr>
          <w:trHeight w:val="470"/>
        </w:trPr>
        <w:tc>
          <w:tcPr>
            <w:tcW w:w="881" w:type="pct"/>
            <w:shd w:val="clear" w:color="auto" w:fill="FDE9D9" w:themeFill="accent6" w:themeFillTint="33"/>
          </w:tcPr>
          <w:p w14:paraId="12487517" w14:textId="77777777" w:rsidR="00484C33" w:rsidRPr="00F66630" w:rsidRDefault="00484C33" w:rsidP="004627E0">
            <w:pPr>
              <w:rPr>
                <w:rFonts w:ascii="Times New Roman" w:hAnsi="Times New Roman" w:cs="Times New Roman"/>
                <w:b/>
                <w:i/>
              </w:rPr>
            </w:pPr>
            <w:r w:rsidRPr="00F66630">
              <w:rPr>
                <w:rFonts w:ascii="Times New Roman" w:hAnsi="Times New Roman" w:cs="Times New Roman"/>
                <w:b/>
                <w:i/>
              </w:rPr>
              <w:t>DLR description as per DLI Matrix</w:t>
            </w:r>
          </w:p>
        </w:tc>
        <w:tc>
          <w:tcPr>
            <w:tcW w:w="4119" w:type="pct"/>
            <w:shd w:val="clear" w:color="auto" w:fill="FDE9D9" w:themeFill="accent6" w:themeFillTint="33"/>
          </w:tcPr>
          <w:p w14:paraId="00C0C149" w14:textId="77777777" w:rsidR="00484C33" w:rsidRPr="00F66630" w:rsidRDefault="00484C33" w:rsidP="004627E0">
            <w:pPr>
              <w:pStyle w:val="NoSpacing"/>
              <w:rPr>
                <w:rFonts w:ascii="Times New Roman" w:hAnsi="Times New Roman" w:cs="Times New Roman"/>
                <w:b/>
                <w:i/>
              </w:rPr>
            </w:pPr>
            <w:bookmarkStart w:id="51" w:name="_Hlk57717897"/>
            <w:r w:rsidRPr="00F66630">
              <w:rPr>
                <w:rFonts w:ascii="Times New Roman" w:hAnsi="Times New Roman" w:cs="Times New Roman"/>
                <w:b/>
                <w:i/>
              </w:rPr>
              <w:t>Definition/Description of DLR achievement</w:t>
            </w:r>
            <w:bookmarkEnd w:id="51"/>
          </w:p>
        </w:tc>
      </w:tr>
      <w:tr w:rsidR="00484C33" w:rsidRPr="00F66630" w14:paraId="3EB1C7F1" w14:textId="77777777" w:rsidTr="004627E0">
        <w:tc>
          <w:tcPr>
            <w:tcW w:w="881" w:type="pct"/>
          </w:tcPr>
          <w:p w14:paraId="5945CE84" w14:textId="1A22AF61" w:rsidR="00484C33" w:rsidRPr="00F66630" w:rsidRDefault="00484C33" w:rsidP="004627E0">
            <w:pPr>
              <w:widowControl w:val="0"/>
              <w:autoSpaceDE w:val="0"/>
              <w:autoSpaceDN w:val="0"/>
              <w:adjustRightInd w:val="0"/>
              <w:ind w:right="90"/>
              <w:rPr>
                <w:rFonts w:ascii="Times New Roman" w:hAnsi="Times New Roman"/>
                <w:b/>
                <w:bCs/>
                <w:iCs/>
              </w:rPr>
            </w:pPr>
            <w:r w:rsidRPr="00F66630">
              <w:rPr>
                <w:rFonts w:ascii="Times New Roman" w:hAnsi="Times New Roman" w:cs="Times New Roman"/>
                <w:b/>
                <w:bCs/>
              </w:rPr>
              <w:t>13.2</w:t>
            </w:r>
            <w:r w:rsidRPr="00F66630">
              <w:rPr>
                <w:rFonts w:ascii="Times New Roman" w:eastAsia="Times New Roman" w:hAnsi="Times New Roman" w:cs="Times New Roman"/>
                <w:b/>
                <w:bCs/>
                <w:color w:val="000000"/>
              </w:rPr>
              <w:t xml:space="preserve">: </w:t>
            </w:r>
            <w:r w:rsidRPr="00F66630">
              <w:rPr>
                <w:rFonts w:ascii="Times New Roman" w:hAnsi="Times New Roman"/>
                <w:b/>
                <w:bCs/>
                <w:iCs/>
              </w:rPr>
              <w:t xml:space="preserve">The participating state has executed at least 90 percent of its COVID-19 response expenditures tagged in the Amended 2020 State Budget, </w:t>
            </w:r>
            <w:r w:rsidR="008C6D3D" w:rsidRPr="00F66630">
              <w:rPr>
                <w:rFonts w:ascii="Times New Roman" w:hAnsi="Times New Roman"/>
                <w:b/>
                <w:bCs/>
                <w:iCs/>
              </w:rPr>
              <w:t>per criteria set out in the Verification Protocol</w:t>
            </w:r>
            <w:r w:rsidRPr="00F66630">
              <w:rPr>
                <w:rFonts w:ascii="Times New Roman" w:hAnsi="Times New Roman"/>
                <w:b/>
                <w:bCs/>
                <w:iCs/>
              </w:rPr>
              <w:t xml:space="preserve">. </w:t>
            </w:r>
          </w:p>
          <w:p w14:paraId="661088E0" w14:textId="77777777" w:rsidR="00484C33" w:rsidRPr="00F66630" w:rsidRDefault="00484C33" w:rsidP="004627E0">
            <w:pPr>
              <w:spacing w:after="120"/>
              <w:rPr>
                <w:rFonts w:ascii="Times New Roman" w:eastAsia="Times New Roman" w:hAnsi="Times New Roman" w:cs="Times New Roman"/>
                <w:bCs/>
                <w:color w:val="000000"/>
              </w:rPr>
            </w:pPr>
            <w:r w:rsidRPr="00F66630">
              <w:rPr>
                <w:rFonts w:ascii="Times New Roman" w:hAnsi="Times New Roman"/>
                <w:iCs/>
              </w:rPr>
              <w:t xml:space="preserve"> </w:t>
            </w:r>
          </w:p>
          <w:p w14:paraId="235FDAEF" w14:textId="77777777" w:rsidR="00484C33" w:rsidRPr="00F66630" w:rsidRDefault="00484C33" w:rsidP="004627E0">
            <w:pPr>
              <w:rPr>
                <w:rFonts w:ascii="Times New Roman" w:eastAsia="Times New Roman" w:hAnsi="Times New Roman" w:cs="Times New Roman"/>
                <w:bCs/>
                <w:color w:val="000000"/>
              </w:rPr>
            </w:pPr>
          </w:p>
        </w:tc>
        <w:tc>
          <w:tcPr>
            <w:tcW w:w="4119" w:type="pct"/>
          </w:tcPr>
          <w:p w14:paraId="231C9118" w14:textId="77777777" w:rsidR="009745A6" w:rsidRPr="00F66630" w:rsidRDefault="009745A6" w:rsidP="009745A6">
            <w:pPr>
              <w:spacing w:after="120"/>
              <w:rPr>
                <w:rFonts w:ascii="Times New Roman" w:hAnsi="Times New Roman"/>
                <w:b/>
                <w:bCs/>
                <w:iCs/>
              </w:rPr>
            </w:pPr>
            <w:r w:rsidRPr="00F66630">
              <w:rPr>
                <w:rFonts w:ascii="Times New Roman" w:hAnsi="Times New Roman"/>
                <w:b/>
                <w:bCs/>
                <w:iCs/>
              </w:rPr>
              <w:t xml:space="preserve">To achieve DLR 13.2, the state needs to have executed at least 90 percent of its total COVID-19 response expenditures budgeted in their Amended 2020 Budget, net of exclusions, within the financial year 2020. </w:t>
            </w:r>
          </w:p>
          <w:p w14:paraId="19F70B1B" w14:textId="77777777" w:rsidR="009745A6" w:rsidRPr="00F66630" w:rsidRDefault="009745A6" w:rsidP="009745A6">
            <w:pPr>
              <w:numPr>
                <w:ilvl w:val="0"/>
                <w:numId w:val="73"/>
              </w:numPr>
              <w:spacing w:after="120"/>
              <w:contextualSpacing/>
              <w:rPr>
                <w:rFonts w:ascii="Times New Roman" w:hAnsi="Times New Roman"/>
                <w:b/>
                <w:bCs/>
              </w:rPr>
            </w:pPr>
            <w:r w:rsidRPr="00F66630">
              <w:rPr>
                <w:rFonts w:ascii="Times New Roman" w:hAnsi="Times New Roman"/>
              </w:rPr>
              <w:t xml:space="preserve">Definition of </w:t>
            </w:r>
            <w:r w:rsidRPr="00F66630">
              <w:rPr>
                <w:rFonts w:ascii="Times New Roman" w:hAnsi="Times New Roman"/>
                <w:b/>
                <w:bCs/>
              </w:rPr>
              <w:t>budgeted</w:t>
            </w:r>
            <w:r w:rsidRPr="00F66630">
              <w:rPr>
                <w:rFonts w:ascii="Times New Roman" w:hAnsi="Times New Roman"/>
              </w:rPr>
              <w:t xml:space="preserve"> </w:t>
            </w:r>
            <w:r w:rsidRPr="00F66630">
              <w:rPr>
                <w:rFonts w:ascii="Times New Roman" w:hAnsi="Times New Roman"/>
                <w:b/>
                <w:bCs/>
              </w:rPr>
              <w:t>COVID-19 response expenditures:</w:t>
            </w:r>
          </w:p>
          <w:p w14:paraId="3571C5EE" w14:textId="77777777" w:rsidR="009745A6" w:rsidRPr="00F66630" w:rsidRDefault="009745A6" w:rsidP="009745A6">
            <w:pPr>
              <w:widowControl w:val="0"/>
              <w:numPr>
                <w:ilvl w:val="0"/>
                <w:numId w:val="75"/>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Budgeted COVID-19 response expenditures refer to the expenditures which have been tagged as COVID-19 response in the </w:t>
            </w:r>
            <w:r w:rsidRPr="00F66630">
              <w:rPr>
                <w:rFonts w:ascii="Times New Roman" w:eastAsia="Times New Roman" w:hAnsi="Times New Roman"/>
                <w:noProof/>
                <w:color w:val="000000"/>
              </w:rPr>
              <w:t xml:space="preserve">detailed Amended 2020 Budget expenditure allocation table with the total of these expenditures shown in the Amended 2020 Budget summary expenditure table. </w:t>
            </w:r>
          </w:p>
          <w:p w14:paraId="68C2FAFF" w14:textId="7243714D" w:rsidR="009745A6" w:rsidRPr="00F66630" w:rsidRDefault="009745A6" w:rsidP="009745A6">
            <w:pPr>
              <w:widowControl w:val="0"/>
              <w:numPr>
                <w:ilvl w:val="0"/>
                <w:numId w:val="75"/>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The Amended 2020 Budget refers to the Amended 2020 Budget, evaluated under DLR 13.1.</w:t>
            </w:r>
          </w:p>
          <w:p w14:paraId="1B240A0A" w14:textId="77777777" w:rsidR="009745A6" w:rsidRPr="00F66630" w:rsidRDefault="009745A6" w:rsidP="009745A6">
            <w:pPr>
              <w:spacing w:after="120"/>
              <w:ind w:left="360"/>
              <w:contextualSpacing/>
              <w:rPr>
                <w:rFonts w:ascii="Times New Roman" w:hAnsi="Times New Roman"/>
                <w:iCs/>
              </w:rPr>
            </w:pPr>
          </w:p>
          <w:p w14:paraId="50A1EFB5" w14:textId="77777777" w:rsidR="009745A6" w:rsidRPr="00F66630" w:rsidRDefault="009745A6" w:rsidP="009745A6">
            <w:pPr>
              <w:numPr>
                <w:ilvl w:val="0"/>
                <w:numId w:val="73"/>
              </w:numPr>
              <w:spacing w:after="120"/>
              <w:contextualSpacing/>
              <w:rPr>
                <w:rFonts w:ascii="Times New Roman" w:hAnsi="Times New Roman"/>
                <w:iCs/>
              </w:rPr>
            </w:pPr>
            <w:r w:rsidRPr="00F66630">
              <w:rPr>
                <w:rFonts w:ascii="Times New Roman" w:hAnsi="Times New Roman"/>
                <w:iCs/>
              </w:rPr>
              <w:t xml:space="preserve">In calculating the percentage of budgeted COVID-19 response expenditures executed, the following </w:t>
            </w:r>
            <w:r w:rsidRPr="00F66630">
              <w:rPr>
                <w:rFonts w:ascii="Times New Roman" w:hAnsi="Times New Roman"/>
                <w:b/>
                <w:bCs/>
                <w:iCs/>
              </w:rPr>
              <w:t>exclusions</w:t>
            </w:r>
            <w:r w:rsidRPr="00F66630">
              <w:rPr>
                <w:rFonts w:ascii="Times New Roman" w:hAnsi="Times New Roman"/>
                <w:iCs/>
              </w:rPr>
              <w:t xml:space="preserve"> shall be applied: </w:t>
            </w:r>
          </w:p>
          <w:p w14:paraId="6F75D6EE" w14:textId="7BD69B05" w:rsidR="009745A6" w:rsidRPr="00F66630" w:rsidRDefault="009745A6" w:rsidP="009745A6">
            <w:pPr>
              <w:widowControl w:val="0"/>
              <w:numPr>
                <w:ilvl w:val="0"/>
                <w:numId w:val="76"/>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Exclude expenditures that were to be financed from earmarked Federal Government COVID-19 response funds that did not materialize in CY2020 because of factors beyond the State Government’s control, rather than the State Government’s failure to access the funds available. </w:t>
            </w:r>
          </w:p>
          <w:p w14:paraId="16C3630C" w14:textId="77777777" w:rsidR="009745A6" w:rsidRPr="00F66630" w:rsidRDefault="009745A6" w:rsidP="009745A6">
            <w:pPr>
              <w:widowControl w:val="0"/>
              <w:numPr>
                <w:ilvl w:val="0"/>
                <w:numId w:val="76"/>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Exclude expenditures that were to be financed from CARES PforR disbursements in CY2020. </w:t>
            </w:r>
          </w:p>
          <w:p w14:paraId="60BB7D21" w14:textId="77777777" w:rsidR="009745A6" w:rsidRPr="00F66630" w:rsidRDefault="009745A6" w:rsidP="009745A6">
            <w:pPr>
              <w:widowControl w:val="0"/>
              <w:numPr>
                <w:ilvl w:val="0"/>
                <w:numId w:val="76"/>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These expenditures will be excluded from the denominator (the State’s total budgeted COVID-19 response expenditures in the Amended 2020 Budget) – but not the numerator in case States were able to finance those expenditures from other sources.</w:t>
            </w:r>
          </w:p>
          <w:p w14:paraId="13BC368E" w14:textId="77777777" w:rsidR="009745A6" w:rsidRPr="00F66630" w:rsidRDefault="009745A6" w:rsidP="009745A6">
            <w:pPr>
              <w:widowControl w:val="0"/>
              <w:autoSpaceDE w:val="0"/>
              <w:autoSpaceDN w:val="0"/>
              <w:adjustRightInd w:val="0"/>
              <w:spacing w:line="256" w:lineRule="auto"/>
              <w:ind w:left="720"/>
              <w:contextualSpacing/>
              <w:rPr>
                <w:rFonts w:ascii="Times New Roman" w:hAnsi="Times New Roman"/>
                <w:iCs/>
              </w:rPr>
            </w:pPr>
            <w:r w:rsidRPr="00F66630">
              <w:rPr>
                <w:rFonts w:ascii="Times New Roman" w:hAnsi="Times New Roman"/>
                <w:iCs/>
              </w:rPr>
              <w:t xml:space="preserve"> </w:t>
            </w:r>
          </w:p>
          <w:p w14:paraId="3E1A0ED0" w14:textId="77777777" w:rsidR="009745A6" w:rsidRPr="00F66630" w:rsidRDefault="009745A6" w:rsidP="009745A6">
            <w:pPr>
              <w:numPr>
                <w:ilvl w:val="0"/>
                <w:numId w:val="73"/>
              </w:numPr>
              <w:spacing w:after="120"/>
              <w:contextualSpacing/>
              <w:rPr>
                <w:rFonts w:ascii="Times New Roman" w:hAnsi="Times New Roman"/>
                <w:iCs/>
              </w:rPr>
            </w:pPr>
            <w:r w:rsidRPr="00F66630">
              <w:rPr>
                <w:rFonts w:ascii="Times New Roman" w:hAnsi="Times New Roman"/>
                <w:iCs/>
              </w:rPr>
              <w:t xml:space="preserve">The following shall </w:t>
            </w:r>
            <w:r w:rsidRPr="00F66630">
              <w:rPr>
                <w:rFonts w:ascii="Times New Roman" w:hAnsi="Times New Roman"/>
                <w:b/>
                <w:bCs/>
                <w:iCs/>
              </w:rPr>
              <w:t xml:space="preserve">not be excluded </w:t>
            </w:r>
            <w:r w:rsidRPr="00F66630">
              <w:rPr>
                <w:rFonts w:ascii="Times New Roman" w:hAnsi="Times New Roman"/>
                <w:iCs/>
              </w:rPr>
              <w:t>(from the numerator or denominator):</w:t>
            </w:r>
          </w:p>
          <w:p w14:paraId="08B71868" w14:textId="77777777" w:rsidR="009745A6" w:rsidRPr="00F66630" w:rsidRDefault="009745A6" w:rsidP="009745A6">
            <w:pPr>
              <w:widowControl w:val="0"/>
              <w:numPr>
                <w:ilvl w:val="0"/>
                <w:numId w:val="77"/>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Expenditures that were to be financed from funds that were </w:t>
            </w:r>
            <w:proofErr w:type="gramStart"/>
            <w:r w:rsidRPr="00F66630">
              <w:rPr>
                <w:rFonts w:ascii="Times New Roman" w:hAnsi="Times New Roman"/>
                <w:iCs/>
              </w:rPr>
              <w:t>available</w:t>
            </w:r>
            <w:proofErr w:type="gramEnd"/>
            <w:r w:rsidRPr="00F66630">
              <w:rPr>
                <w:rFonts w:ascii="Times New Roman" w:hAnsi="Times New Roman"/>
                <w:iCs/>
              </w:rPr>
              <w:t xml:space="preserve"> but the State failed to comply with the requirements to access them in CY2020 (e.g. UBEC, where States access the funds conditional on them mobilizing matching grants; or SFTAS, where State needs to achieve results for the disbursements to be effected). </w:t>
            </w:r>
          </w:p>
          <w:p w14:paraId="73301543" w14:textId="77777777" w:rsidR="009745A6" w:rsidRPr="00F66630" w:rsidRDefault="009745A6" w:rsidP="009745A6">
            <w:pPr>
              <w:widowControl w:val="0"/>
              <w:numPr>
                <w:ilvl w:val="0"/>
                <w:numId w:val="77"/>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Gross Statutory Allocation or other share of FAAC transfers, as these are not earmarked. </w:t>
            </w:r>
          </w:p>
          <w:p w14:paraId="16AC901F" w14:textId="77777777" w:rsidR="009745A6" w:rsidRPr="00F66630" w:rsidRDefault="009745A6" w:rsidP="009745A6">
            <w:pPr>
              <w:widowControl w:val="0"/>
              <w:numPr>
                <w:ilvl w:val="0"/>
                <w:numId w:val="77"/>
              </w:numPr>
              <w:autoSpaceDE w:val="0"/>
              <w:autoSpaceDN w:val="0"/>
              <w:adjustRightInd w:val="0"/>
              <w:spacing w:line="256" w:lineRule="auto"/>
              <w:contextualSpacing/>
              <w:rPr>
                <w:rFonts w:ascii="Times New Roman" w:hAnsi="Times New Roman"/>
                <w:iCs/>
              </w:rPr>
            </w:pPr>
            <w:r w:rsidRPr="00F66630">
              <w:rPr>
                <w:rFonts w:ascii="Times New Roman" w:hAnsi="Times New Roman"/>
                <w:iCs/>
              </w:rPr>
              <w:t xml:space="preserve">Other revenue or financing items that are not earmarked for specific COVID-19 response spending. </w:t>
            </w:r>
          </w:p>
          <w:p w14:paraId="7521B493" w14:textId="77777777" w:rsidR="009745A6" w:rsidRPr="00F66630" w:rsidRDefault="009745A6" w:rsidP="009745A6">
            <w:pPr>
              <w:spacing w:after="120"/>
              <w:ind w:left="360"/>
              <w:contextualSpacing/>
              <w:rPr>
                <w:rFonts w:ascii="Times New Roman" w:hAnsi="Times New Roman"/>
                <w:iCs/>
              </w:rPr>
            </w:pPr>
          </w:p>
          <w:p w14:paraId="291957E6" w14:textId="77777777" w:rsidR="009745A6" w:rsidRPr="00F66630" w:rsidRDefault="009745A6" w:rsidP="009745A6">
            <w:pPr>
              <w:numPr>
                <w:ilvl w:val="0"/>
                <w:numId w:val="73"/>
              </w:numPr>
              <w:spacing w:after="120"/>
              <w:contextualSpacing/>
              <w:rPr>
                <w:rFonts w:ascii="Times New Roman" w:hAnsi="Times New Roman"/>
                <w:iCs/>
              </w:rPr>
            </w:pPr>
            <w:r w:rsidRPr="00F66630">
              <w:rPr>
                <w:rFonts w:ascii="Times New Roman" w:hAnsi="Times New Roman"/>
                <w:iCs/>
              </w:rPr>
              <w:t xml:space="preserve">Only the COVID-19 expenditures executed in the financial year 2020 (January 1 – December 31, 2020) will be considered for the purpose of the calculation. </w:t>
            </w:r>
          </w:p>
          <w:p w14:paraId="4C4DECFE" w14:textId="77777777" w:rsidR="009745A6" w:rsidRPr="00F66630" w:rsidRDefault="009745A6" w:rsidP="009745A6">
            <w:pPr>
              <w:spacing w:after="120"/>
              <w:ind w:left="360"/>
              <w:contextualSpacing/>
              <w:rPr>
                <w:rFonts w:ascii="Times New Roman" w:hAnsi="Times New Roman"/>
                <w:iCs/>
              </w:rPr>
            </w:pPr>
          </w:p>
          <w:p w14:paraId="6489AF54" w14:textId="77777777" w:rsidR="009745A6" w:rsidRPr="00F66630" w:rsidRDefault="009745A6" w:rsidP="009745A6">
            <w:pPr>
              <w:numPr>
                <w:ilvl w:val="0"/>
                <w:numId w:val="73"/>
              </w:numPr>
              <w:spacing w:after="120"/>
              <w:contextualSpacing/>
              <w:rPr>
                <w:rFonts w:ascii="Times New Roman" w:hAnsi="Times New Roman"/>
                <w:iCs/>
              </w:rPr>
            </w:pPr>
            <w:r w:rsidRPr="00F66630">
              <w:rPr>
                <w:rFonts w:ascii="Times New Roman" w:hAnsi="Times New Roman"/>
                <w:iCs/>
              </w:rPr>
              <w:t xml:space="preserve">Once exclusions are applied, the </w:t>
            </w:r>
            <w:r w:rsidRPr="00F66630">
              <w:rPr>
                <w:rFonts w:ascii="Times New Roman" w:hAnsi="Times New Roman"/>
                <w:b/>
                <w:bCs/>
                <w:iCs/>
              </w:rPr>
              <w:t>calculation</w:t>
            </w:r>
            <w:r w:rsidRPr="00F66630">
              <w:rPr>
                <w:rFonts w:ascii="Times New Roman" w:hAnsi="Times New Roman"/>
                <w:iCs/>
              </w:rPr>
              <w:t xml:space="preserve"> of the percentage of COVID-19 response will utilize the following formula: </w:t>
            </w:r>
          </w:p>
          <w:p w14:paraId="1118084E" w14:textId="73ECB6E7" w:rsidR="009745A6" w:rsidRPr="00F66630" w:rsidRDefault="009745A6" w:rsidP="009745A6">
            <w:pPr>
              <w:spacing w:after="120"/>
              <w:ind w:left="1440"/>
              <w:rPr>
                <w:rFonts w:ascii="Times New Roman" w:hAnsi="Times New Roman"/>
                <w:iCs/>
              </w:rPr>
            </w:pPr>
            <w:r w:rsidRPr="00F66630">
              <w:rPr>
                <w:rFonts w:ascii="Times New Roman" w:hAnsi="Times New Roman"/>
                <w:iCs/>
              </w:rPr>
              <w:lastRenderedPageBreak/>
              <w:t>Percentage of COVID-19 response expenditures executed = 100 x (total COVID-19 response expenditures executed in 2020</w:t>
            </w:r>
            <w:r w:rsidR="00D64183" w:rsidRPr="00F66630">
              <w:rPr>
                <w:rFonts w:ascii="Times New Roman" w:hAnsi="Times New Roman"/>
                <w:iCs/>
              </w:rPr>
              <w:t xml:space="preserve"> </w:t>
            </w:r>
            <w:proofErr w:type="gramStart"/>
            <w:r w:rsidR="00D64183" w:rsidRPr="00F66630">
              <w:rPr>
                <w:rFonts w:ascii="Times New Roman" w:hAnsi="Times New Roman"/>
                <w:iCs/>
              </w:rPr>
              <w:t>i.e.</w:t>
            </w:r>
            <w:proofErr w:type="gramEnd"/>
            <w:r w:rsidR="00D64183" w:rsidRPr="00F66630">
              <w:rPr>
                <w:rFonts w:ascii="Times New Roman" w:hAnsi="Times New Roman"/>
                <w:iCs/>
              </w:rPr>
              <w:t xml:space="preserve"> actual</w:t>
            </w:r>
            <w:r w:rsidRPr="00F66630">
              <w:rPr>
                <w:rFonts w:ascii="Times New Roman" w:hAnsi="Times New Roman"/>
                <w:iCs/>
              </w:rPr>
              <w:t xml:space="preserve">) / (total budgeted COVID-19 response expenditures in the Amended 2020 Budget </w:t>
            </w:r>
            <w:r w:rsidRPr="00F66630">
              <w:rPr>
                <w:rFonts w:ascii="Times New Roman" w:hAnsi="Times New Roman"/>
                <w:i/>
              </w:rPr>
              <w:t>net of exclusions</w:t>
            </w:r>
            <w:r w:rsidRPr="00F66630">
              <w:rPr>
                <w:rFonts w:ascii="Times New Roman" w:hAnsi="Times New Roman"/>
                <w:iCs/>
              </w:rPr>
              <w:t>)</w:t>
            </w:r>
          </w:p>
          <w:p w14:paraId="62034331" w14:textId="77777777" w:rsidR="009745A6" w:rsidRPr="00F66630" w:rsidRDefault="009745A6" w:rsidP="009745A6">
            <w:pPr>
              <w:widowControl w:val="0"/>
              <w:numPr>
                <w:ilvl w:val="0"/>
                <w:numId w:val="73"/>
              </w:numPr>
              <w:autoSpaceDE w:val="0"/>
              <w:autoSpaceDN w:val="0"/>
              <w:adjustRightInd w:val="0"/>
              <w:ind w:right="90"/>
              <w:contextualSpacing/>
              <w:rPr>
                <w:rFonts w:ascii="Times New Roman" w:eastAsia="Times New Roman" w:hAnsi="Times New Roman"/>
                <w:noProof/>
                <w:color w:val="000000"/>
              </w:rPr>
            </w:pPr>
            <w:r w:rsidRPr="00F66630">
              <w:rPr>
                <w:rFonts w:ascii="Times New Roman" w:hAnsi="Times New Roman"/>
                <w:iCs/>
              </w:rPr>
              <w:t xml:space="preserve">States that did not achieve DLR 13.1 but have been assessed by the IVA to have complied with the COVID-responsive budget tagging </w:t>
            </w:r>
            <w:proofErr w:type="gramStart"/>
            <w:r w:rsidRPr="00F66630">
              <w:rPr>
                <w:rFonts w:ascii="Times New Roman" w:hAnsi="Times New Roman"/>
                <w:iCs/>
              </w:rPr>
              <w:t>procedures, AND</w:t>
            </w:r>
            <w:proofErr w:type="gramEnd"/>
            <w:r w:rsidRPr="00F66630">
              <w:rPr>
                <w:rFonts w:ascii="Times New Roman" w:hAnsi="Times New Roman"/>
                <w:iCs/>
              </w:rPr>
              <w:t xml:space="preserve"> has complied with the requirement for t</w:t>
            </w:r>
            <w:r w:rsidRPr="00F66630">
              <w:rPr>
                <w:rFonts w:ascii="Times New Roman" w:eastAsia="Times New Roman" w:hAnsi="Times New Roman"/>
                <w:noProof/>
                <w:color w:val="000000"/>
              </w:rPr>
              <w:t xml:space="preserve">otal COVID-19 response expenditures to represent at least 10 percent of the total amended budget expenditures, can achieve the DLR 13.2, provided it meets the DLR 13.2 requirements established in this verification protocol. </w:t>
            </w:r>
          </w:p>
          <w:p w14:paraId="3235AB1C" w14:textId="77777777" w:rsidR="009745A6" w:rsidRPr="00F66630" w:rsidRDefault="009745A6" w:rsidP="009745A6">
            <w:pPr>
              <w:widowControl w:val="0"/>
              <w:autoSpaceDE w:val="0"/>
              <w:autoSpaceDN w:val="0"/>
              <w:adjustRightInd w:val="0"/>
              <w:ind w:left="360" w:right="90"/>
              <w:contextualSpacing/>
              <w:rPr>
                <w:rFonts w:ascii="Times New Roman" w:eastAsia="Times New Roman" w:hAnsi="Times New Roman"/>
                <w:noProof/>
                <w:color w:val="000000"/>
              </w:rPr>
            </w:pPr>
          </w:p>
          <w:p w14:paraId="4FF211C2" w14:textId="77777777" w:rsidR="009745A6" w:rsidRPr="00F66630" w:rsidRDefault="009745A6" w:rsidP="009745A6">
            <w:pPr>
              <w:widowControl w:val="0"/>
              <w:numPr>
                <w:ilvl w:val="0"/>
                <w:numId w:val="73"/>
              </w:numPr>
              <w:autoSpaceDE w:val="0"/>
              <w:autoSpaceDN w:val="0"/>
              <w:adjustRightInd w:val="0"/>
              <w:ind w:right="90"/>
              <w:contextualSpacing/>
              <w:rPr>
                <w:rFonts w:ascii="Times New Roman" w:eastAsia="Times New Roman" w:hAnsi="Times New Roman"/>
                <w:noProof/>
                <w:color w:val="000000"/>
              </w:rPr>
            </w:pPr>
            <w:r w:rsidRPr="00F66630">
              <w:rPr>
                <w:rFonts w:ascii="Times New Roman" w:hAnsi="Times New Roman"/>
                <w:iCs/>
              </w:rPr>
              <w:t>States</w:t>
            </w:r>
            <w:r w:rsidRPr="00F66630">
              <w:rPr>
                <w:rFonts w:ascii="Times New Roman" w:eastAsia="Times New Roman" w:hAnsi="Times New Roman"/>
                <w:noProof/>
                <w:color w:val="000000"/>
              </w:rPr>
              <w:t xml:space="preserve"> are required to provide adequate source data/documentation for measuring budget execution:</w:t>
            </w:r>
          </w:p>
          <w:p w14:paraId="14A02F59" w14:textId="77777777" w:rsidR="009745A6" w:rsidRPr="00F66630" w:rsidRDefault="009745A6" w:rsidP="009745A6">
            <w:pPr>
              <w:widowControl w:val="0"/>
              <w:numPr>
                <w:ilvl w:val="0"/>
                <w:numId w:val="78"/>
              </w:numPr>
              <w:autoSpaceDE w:val="0"/>
              <w:autoSpaceDN w:val="0"/>
              <w:adjustRightInd w:val="0"/>
              <w:spacing w:line="256" w:lineRule="auto"/>
              <w:contextualSpacing/>
              <w:rPr>
                <w:rFonts w:ascii="Times New Roman" w:eastAsia="Times New Roman" w:hAnsi="Times New Roman"/>
                <w:noProof/>
                <w:color w:val="000000"/>
              </w:rPr>
            </w:pPr>
            <w:r w:rsidRPr="00F66630">
              <w:rPr>
                <w:rFonts w:ascii="Times New Roman" w:eastAsia="Times New Roman" w:hAnsi="Times New Roman"/>
                <w:noProof/>
                <w:color w:val="000000"/>
              </w:rPr>
              <w:t>Approved State Amended 2020 Budget including the detailed expenditure allocation table.</w:t>
            </w:r>
          </w:p>
          <w:p w14:paraId="60452413" w14:textId="69C36A90" w:rsidR="009745A6" w:rsidRPr="00F66630" w:rsidRDefault="009745A6" w:rsidP="009745A6">
            <w:pPr>
              <w:widowControl w:val="0"/>
              <w:numPr>
                <w:ilvl w:val="0"/>
                <w:numId w:val="78"/>
              </w:numPr>
              <w:autoSpaceDE w:val="0"/>
              <w:autoSpaceDN w:val="0"/>
              <w:adjustRightInd w:val="0"/>
              <w:spacing w:line="256" w:lineRule="auto"/>
              <w:contextualSpacing/>
              <w:rPr>
                <w:rFonts w:ascii="Times New Roman" w:eastAsia="Times New Roman" w:hAnsi="Times New Roman"/>
                <w:noProof/>
                <w:color w:val="000000"/>
              </w:rPr>
            </w:pPr>
            <w:r w:rsidRPr="00F66630">
              <w:rPr>
                <w:rFonts w:ascii="Times New Roman" w:eastAsia="Times New Roman" w:hAnsi="Times New Roman"/>
                <w:noProof/>
                <w:color w:val="000000"/>
              </w:rPr>
              <w:t>Audited COVID-19 response expenditure figures including specific disclosure of COVID-19 response expenditures in the 2020 AFS</w:t>
            </w:r>
            <w:r w:rsidRPr="00F66630">
              <w:rPr>
                <w:rFonts w:ascii="Times New Roman" w:hAnsi="Times New Roman"/>
                <w:iCs/>
              </w:rPr>
              <w:t xml:space="preserve"> </w:t>
            </w:r>
          </w:p>
          <w:p w14:paraId="14F2B90C" w14:textId="6591F10B" w:rsidR="00E27800" w:rsidRPr="00F66630" w:rsidRDefault="00E27800" w:rsidP="00E27800">
            <w:pPr>
              <w:pStyle w:val="ListParagraph"/>
              <w:widowControl w:val="0"/>
              <w:autoSpaceDE w:val="0"/>
              <w:autoSpaceDN w:val="0"/>
              <w:adjustRightInd w:val="0"/>
              <w:spacing w:line="256" w:lineRule="auto"/>
              <w:rPr>
                <w:rFonts w:ascii="Times New Roman" w:eastAsia="Times New Roman" w:hAnsi="Times New Roman" w:cs="Times New Roman"/>
                <w:noProof/>
                <w:color w:val="000000"/>
              </w:rPr>
            </w:pPr>
          </w:p>
        </w:tc>
      </w:tr>
      <w:tr w:rsidR="00484C33" w:rsidRPr="00F66630" w14:paraId="33AB0104" w14:textId="77777777" w:rsidTr="004627E0">
        <w:tc>
          <w:tcPr>
            <w:tcW w:w="5000" w:type="pct"/>
            <w:gridSpan w:val="2"/>
            <w:shd w:val="clear" w:color="auto" w:fill="FDE9D9" w:themeFill="accent6" w:themeFillTint="33"/>
          </w:tcPr>
          <w:p w14:paraId="45504670" w14:textId="77777777" w:rsidR="00484C33" w:rsidRPr="00F66630" w:rsidRDefault="00484C33" w:rsidP="004627E0">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p>
        </w:tc>
      </w:tr>
      <w:tr w:rsidR="00484C33" w:rsidRPr="00F66630" w14:paraId="42F4F89B" w14:textId="77777777" w:rsidTr="004627E0">
        <w:tc>
          <w:tcPr>
            <w:tcW w:w="5000" w:type="pct"/>
            <w:gridSpan w:val="2"/>
          </w:tcPr>
          <w:p w14:paraId="4252D77C" w14:textId="77777777" w:rsidR="00484C33" w:rsidRPr="00F66630" w:rsidRDefault="00484C33"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4D6DBEC4" w14:textId="77777777" w:rsidR="00CD3BE9" w:rsidRPr="00F66630" w:rsidRDefault="00484C33"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w:t>
            </w:r>
          </w:p>
          <w:p w14:paraId="6BDC3F61" w14:textId="77777777" w:rsidR="00484C33" w:rsidRPr="00F66630" w:rsidRDefault="00484C33"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the State House of Assembly, the Office of the Auditor-General for States.</w:t>
            </w:r>
          </w:p>
          <w:p w14:paraId="45FE2C44" w14:textId="68464BF1" w:rsidR="00E27800" w:rsidRPr="00F66630" w:rsidRDefault="00E27800" w:rsidP="00E27800">
            <w:pPr>
              <w:pStyle w:val="CommentText"/>
              <w:ind w:left="360"/>
              <w:rPr>
                <w:rFonts w:ascii="Times New Roman" w:hAnsi="Times New Roman" w:cs="Times New Roman"/>
                <w:sz w:val="22"/>
                <w:szCs w:val="22"/>
              </w:rPr>
            </w:pPr>
          </w:p>
        </w:tc>
      </w:tr>
      <w:tr w:rsidR="00484C33" w:rsidRPr="00F66630" w14:paraId="4252C567" w14:textId="77777777" w:rsidTr="004627E0">
        <w:tc>
          <w:tcPr>
            <w:tcW w:w="5000" w:type="pct"/>
            <w:gridSpan w:val="2"/>
          </w:tcPr>
          <w:p w14:paraId="4AF22C39" w14:textId="77777777" w:rsidR="00484C33" w:rsidRPr="00F66630" w:rsidRDefault="00484C33" w:rsidP="004627E0">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404CD445" w14:textId="77777777" w:rsidR="00E27800" w:rsidRPr="00F66630" w:rsidRDefault="00E27800" w:rsidP="004627E0">
            <w:pPr>
              <w:spacing w:after="120"/>
              <w:contextualSpacing/>
              <w:rPr>
                <w:rFonts w:ascii="Times New Roman" w:hAnsi="Times New Roman" w:cs="Times New Roman"/>
              </w:rPr>
            </w:pPr>
          </w:p>
          <w:p w14:paraId="1531AE9A" w14:textId="248FEB91" w:rsidR="00484C33" w:rsidRPr="00F66630" w:rsidRDefault="00484C33" w:rsidP="004627E0">
            <w:pPr>
              <w:spacing w:after="120"/>
              <w:contextualSpacing/>
              <w:rPr>
                <w:rFonts w:ascii="Times New Roman" w:hAnsi="Times New Roman" w:cs="Times New Roman"/>
              </w:rPr>
            </w:pPr>
            <w:r w:rsidRPr="00F66630">
              <w:rPr>
                <w:rFonts w:ascii="Times New Roman" w:hAnsi="Times New Roman" w:cs="Times New Roman"/>
              </w:rPr>
              <w:t>The IVA will carry out the following for each State:</w:t>
            </w:r>
          </w:p>
          <w:p w14:paraId="2E04188C" w14:textId="1C05EC0E" w:rsidR="00484C33"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Download the Amended FY2020 State Budget from the State official website.</w:t>
            </w:r>
          </w:p>
          <w:p w14:paraId="6E2E7B16" w14:textId="77777777" w:rsidR="00484C33"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 xml:space="preserve">Confirm the budget has been passed into law (approved by State House of Assembly and assented by the Governor). </w:t>
            </w:r>
          </w:p>
          <w:p w14:paraId="33FF69E6" w14:textId="33323105" w:rsidR="00D23E7D"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Confirm t</w:t>
            </w:r>
            <w:r w:rsidRPr="00F66630">
              <w:rPr>
                <w:rFonts w:ascii="Times New Roman" w:hAnsi="Times New Roman" w:cs="Times New Roman"/>
                <w:iCs/>
              </w:rPr>
              <w:t xml:space="preserve">he detailed budget expenditure allocation table tags (in a separate column) each budget line item as either COVID-responsive, or not. </w:t>
            </w:r>
          </w:p>
          <w:p w14:paraId="07935278" w14:textId="73B989DB" w:rsidR="000E5271" w:rsidRPr="00F66630" w:rsidRDefault="00484C33" w:rsidP="00DB6F73">
            <w:pPr>
              <w:pStyle w:val="ListParagraph"/>
              <w:numPr>
                <w:ilvl w:val="0"/>
                <w:numId w:val="74"/>
              </w:numPr>
              <w:spacing w:after="120"/>
              <w:rPr>
                <w:rFonts w:ascii="Times New Roman" w:eastAsia="Times New Roman" w:hAnsi="Times New Roman" w:cs="Times New Roman"/>
                <w:noProof/>
                <w:color w:val="000000"/>
              </w:rPr>
            </w:pPr>
            <w:r w:rsidRPr="00F66630">
              <w:rPr>
                <w:rFonts w:ascii="Times New Roman" w:hAnsi="Times New Roman" w:cs="Times New Roman"/>
                <w:iCs/>
              </w:rPr>
              <w:t>Confirm that the total COVID-19 response expenditure</w:t>
            </w:r>
            <w:r w:rsidR="00D23E7D" w:rsidRPr="00F66630">
              <w:rPr>
                <w:rFonts w:ascii="Times New Roman" w:hAnsi="Times New Roman" w:cs="Times New Roman"/>
                <w:iCs/>
              </w:rPr>
              <w:t>s</w:t>
            </w:r>
            <w:r w:rsidRPr="00F66630">
              <w:rPr>
                <w:rFonts w:ascii="Times New Roman" w:hAnsi="Times New Roman" w:cs="Times New Roman"/>
                <w:iCs/>
              </w:rPr>
              <w:t xml:space="preserve"> represent at least 10 percent</w:t>
            </w:r>
            <w:r w:rsidRPr="00F66630">
              <w:rPr>
                <w:rFonts w:ascii="Times New Roman" w:hAnsi="Times New Roman" w:cs="Times New Roman"/>
                <w:iCs/>
                <w:vertAlign w:val="superscript"/>
              </w:rPr>
              <w:t xml:space="preserve"> </w:t>
            </w:r>
            <w:r w:rsidRPr="00F66630">
              <w:rPr>
                <w:rFonts w:ascii="Times New Roman" w:hAnsi="Times New Roman" w:cs="Times New Roman"/>
                <w:iCs/>
              </w:rPr>
              <w:t xml:space="preserve">of the total </w:t>
            </w:r>
            <w:r w:rsidR="00B7410C" w:rsidRPr="00F66630">
              <w:rPr>
                <w:rFonts w:ascii="Times New Roman" w:hAnsi="Times New Roman" w:cs="Times New Roman"/>
                <w:iCs/>
              </w:rPr>
              <w:t xml:space="preserve">Amended </w:t>
            </w:r>
            <w:r w:rsidR="004F501E" w:rsidRPr="00F66630">
              <w:rPr>
                <w:rFonts w:ascii="Times New Roman" w:hAnsi="Times New Roman" w:cs="Times New Roman"/>
                <w:iCs/>
              </w:rPr>
              <w:t xml:space="preserve">FY2020 </w:t>
            </w:r>
            <w:r w:rsidRPr="00F66630">
              <w:rPr>
                <w:rFonts w:ascii="Times New Roman" w:hAnsi="Times New Roman" w:cs="Times New Roman"/>
                <w:iCs/>
              </w:rPr>
              <w:t>budget expenditure</w:t>
            </w:r>
            <w:r w:rsidR="00D23E7D" w:rsidRPr="00F66630">
              <w:rPr>
                <w:rFonts w:ascii="Times New Roman" w:hAnsi="Times New Roman" w:cs="Times New Roman"/>
                <w:iCs/>
              </w:rPr>
              <w:t>s</w:t>
            </w:r>
            <w:r w:rsidR="000E5271" w:rsidRPr="00F66630">
              <w:rPr>
                <w:rFonts w:ascii="Times New Roman" w:eastAsia="Times New Roman" w:hAnsi="Times New Roman" w:cs="Times New Roman"/>
                <w:noProof/>
                <w:color w:val="000000"/>
              </w:rPr>
              <w:t>.</w:t>
            </w:r>
          </w:p>
          <w:p w14:paraId="2F801351" w14:textId="14777636" w:rsidR="00484C33"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 xml:space="preserve">Download the </w:t>
            </w:r>
            <w:r w:rsidR="00F27EE7" w:rsidRPr="00F66630">
              <w:rPr>
                <w:rFonts w:ascii="Times New Roman" w:hAnsi="Times New Roman" w:cs="Times New Roman"/>
              </w:rPr>
              <w:t>FY</w:t>
            </w:r>
            <w:r w:rsidRPr="00F66630">
              <w:rPr>
                <w:rFonts w:ascii="Times New Roman" w:hAnsi="Times New Roman" w:cs="Times New Roman"/>
              </w:rPr>
              <w:t xml:space="preserve">2020 state AFS. </w:t>
            </w:r>
          </w:p>
          <w:p w14:paraId="5F71E829" w14:textId="27617611" w:rsidR="00484C33"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 xml:space="preserve">Confirm the </w:t>
            </w:r>
            <w:r w:rsidR="00F27EE7" w:rsidRPr="00F66630">
              <w:rPr>
                <w:rFonts w:ascii="Times New Roman" w:hAnsi="Times New Roman" w:cs="Times New Roman"/>
              </w:rPr>
              <w:t>FY</w:t>
            </w:r>
            <w:r w:rsidRPr="00F66630">
              <w:rPr>
                <w:rFonts w:ascii="Times New Roman" w:hAnsi="Times New Roman" w:cs="Times New Roman"/>
              </w:rPr>
              <w:t xml:space="preserve">2020 state AFS contains a specific disclosure note for </w:t>
            </w:r>
            <w:r w:rsidRPr="00F66630">
              <w:rPr>
                <w:rFonts w:ascii="Times New Roman" w:hAnsi="Times New Roman"/>
              </w:rPr>
              <w:t>COVID-19 response spending.</w:t>
            </w:r>
          </w:p>
          <w:p w14:paraId="13D94040" w14:textId="2AF2583E" w:rsidR="001E6102" w:rsidRPr="00F66630" w:rsidRDefault="001E6102"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Request the State to provide a list of exclusions with explanations. Assess whether the exclusions are valid and consistent with the protocol</w:t>
            </w:r>
            <w:r w:rsidR="003552C6" w:rsidRPr="00F66630">
              <w:rPr>
                <w:rFonts w:ascii="Times New Roman" w:hAnsi="Times New Roman" w:cs="Times New Roman"/>
              </w:rPr>
              <w:t xml:space="preserve"> and applied consistently across all States</w:t>
            </w:r>
            <w:r w:rsidRPr="00F66630">
              <w:rPr>
                <w:rFonts w:ascii="Times New Roman" w:hAnsi="Times New Roman" w:cs="Times New Roman"/>
              </w:rPr>
              <w:t xml:space="preserve">. </w:t>
            </w:r>
          </w:p>
          <w:p w14:paraId="2FE44FA7" w14:textId="363789A4" w:rsidR="00484C33"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 xml:space="preserve">Apply the </w:t>
            </w:r>
            <w:r w:rsidR="001E6102" w:rsidRPr="00F66630">
              <w:rPr>
                <w:rFonts w:ascii="Times New Roman" w:hAnsi="Times New Roman" w:cs="Times New Roman"/>
              </w:rPr>
              <w:t xml:space="preserve">valid </w:t>
            </w:r>
            <w:r w:rsidRPr="00F66630">
              <w:rPr>
                <w:rFonts w:ascii="Times New Roman" w:hAnsi="Times New Roman" w:cs="Times New Roman"/>
              </w:rPr>
              <w:t xml:space="preserve">exclusions to budgeted COVID-19 response expenditures. </w:t>
            </w:r>
          </w:p>
          <w:p w14:paraId="482FE324" w14:textId="55E2611E" w:rsidR="00E27800" w:rsidRPr="00F66630" w:rsidRDefault="00484C33" w:rsidP="00DB6F73">
            <w:pPr>
              <w:pStyle w:val="ListParagraph"/>
              <w:numPr>
                <w:ilvl w:val="0"/>
                <w:numId w:val="74"/>
              </w:numPr>
              <w:spacing w:after="120"/>
              <w:rPr>
                <w:rFonts w:ascii="Times New Roman" w:hAnsi="Times New Roman" w:cs="Times New Roman"/>
              </w:rPr>
            </w:pPr>
            <w:r w:rsidRPr="00F66630">
              <w:rPr>
                <w:rFonts w:ascii="Times New Roman" w:hAnsi="Times New Roman" w:cs="Times New Roman"/>
              </w:rPr>
              <w:t xml:space="preserve">Conduct the calculations and evaluate the </w:t>
            </w:r>
            <w:r w:rsidR="00491C81" w:rsidRPr="00F66630">
              <w:rPr>
                <w:rFonts w:ascii="Times New Roman" w:hAnsi="Times New Roman" w:cs="Times New Roman"/>
              </w:rPr>
              <w:t>S</w:t>
            </w:r>
            <w:r w:rsidRPr="00F66630">
              <w:rPr>
                <w:rFonts w:ascii="Times New Roman" w:hAnsi="Times New Roman" w:cs="Times New Roman"/>
              </w:rPr>
              <w:t>tate</w:t>
            </w:r>
            <w:r w:rsidR="00491C81" w:rsidRPr="00F66630">
              <w:rPr>
                <w:rFonts w:ascii="Times New Roman" w:hAnsi="Times New Roman" w:cs="Times New Roman"/>
              </w:rPr>
              <w:t>’s</w:t>
            </w:r>
            <w:r w:rsidRPr="00F66630">
              <w:rPr>
                <w:rFonts w:ascii="Times New Roman" w:hAnsi="Times New Roman" w:cs="Times New Roman"/>
              </w:rPr>
              <w:t xml:space="preserve"> results against the threshold</w:t>
            </w:r>
            <w:r w:rsidR="00491C81" w:rsidRPr="00F66630">
              <w:rPr>
                <w:rFonts w:ascii="Times New Roman" w:hAnsi="Times New Roman" w:cs="Times New Roman"/>
              </w:rPr>
              <w:t xml:space="preserve"> of 90 percent</w:t>
            </w:r>
            <w:r w:rsidR="004D04EC" w:rsidRPr="00F66630">
              <w:rPr>
                <w:rFonts w:ascii="Times New Roman" w:hAnsi="Times New Roman" w:cs="Times New Roman"/>
              </w:rPr>
              <w:t>.</w:t>
            </w:r>
          </w:p>
          <w:p w14:paraId="2D481B79" w14:textId="0EB02986" w:rsidR="004D04EC" w:rsidRPr="00F66630" w:rsidRDefault="004D04EC" w:rsidP="004D04EC">
            <w:pPr>
              <w:pStyle w:val="ListParagraph"/>
              <w:spacing w:after="120"/>
              <w:ind w:left="0"/>
              <w:rPr>
                <w:rFonts w:ascii="Times New Roman" w:hAnsi="Times New Roman" w:cs="Times New Roman"/>
              </w:rPr>
            </w:pPr>
          </w:p>
        </w:tc>
      </w:tr>
      <w:tr w:rsidR="00484C33" w:rsidRPr="00F66630" w14:paraId="18E80310" w14:textId="77777777" w:rsidTr="004627E0">
        <w:trPr>
          <w:trHeight w:val="470"/>
        </w:trPr>
        <w:tc>
          <w:tcPr>
            <w:tcW w:w="881" w:type="pct"/>
            <w:shd w:val="clear" w:color="auto" w:fill="FDE9D9" w:themeFill="accent6" w:themeFillTint="33"/>
          </w:tcPr>
          <w:p w14:paraId="7C6BCF17" w14:textId="77777777" w:rsidR="00484C33" w:rsidRPr="00F66630" w:rsidRDefault="00484C33" w:rsidP="004627E0">
            <w:pPr>
              <w:rPr>
                <w:rFonts w:ascii="Times New Roman" w:hAnsi="Times New Roman" w:cs="Times New Roman"/>
                <w:b/>
                <w:i/>
              </w:rPr>
            </w:pPr>
            <w:r w:rsidRPr="00F66630">
              <w:rPr>
                <w:rFonts w:ascii="Times New Roman" w:hAnsi="Times New Roman" w:cs="Times New Roman"/>
                <w:b/>
                <w:i/>
              </w:rPr>
              <w:t xml:space="preserve">DLR description as per </w:t>
            </w:r>
            <w:r w:rsidRPr="00F66630">
              <w:rPr>
                <w:rFonts w:ascii="Times New Roman" w:hAnsi="Times New Roman" w:cs="Times New Roman"/>
                <w:b/>
                <w:i/>
              </w:rPr>
              <w:lastRenderedPageBreak/>
              <w:t>DLI Matrix</w:t>
            </w:r>
          </w:p>
        </w:tc>
        <w:tc>
          <w:tcPr>
            <w:tcW w:w="4119" w:type="pct"/>
            <w:shd w:val="clear" w:color="auto" w:fill="FDE9D9" w:themeFill="accent6" w:themeFillTint="33"/>
          </w:tcPr>
          <w:p w14:paraId="4EF49AEB" w14:textId="77777777" w:rsidR="00484C33" w:rsidRPr="00F66630" w:rsidRDefault="00484C33" w:rsidP="004627E0">
            <w:pPr>
              <w:pStyle w:val="NoSpacing"/>
              <w:rPr>
                <w:rFonts w:ascii="Times New Roman" w:hAnsi="Times New Roman" w:cs="Times New Roman"/>
                <w:b/>
                <w:i/>
              </w:rPr>
            </w:pPr>
            <w:r w:rsidRPr="00F66630">
              <w:rPr>
                <w:rFonts w:ascii="Times New Roman" w:hAnsi="Times New Roman" w:cs="Times New Roman"/>
                <w:b/>
                <w:i/>
              </w:rPr>
              <w:lastRenderedPageBreak/>
              <w:t>Definition/Description of DLR achievement</w:t>
            </w:r>
          </w:p>
        </w:tc>
      </w:tr>
      <w:tr w:rsidR="00484C33" w:rsidRPr="00F66630" w14:paraId="0936BC4A" w14:textId="77777777" w:rsidTr="004627E0">
        <w:tc>
          <w:tcPr>
            <w:tcW w:w="881" w:type="pct"/>
          </w:tcPr>
          <w:p w14:paraId="17CA408D" w14:textId="4AA8112D" w:rsidR="00484C33" w:rsidRPr="00F66630" w:rsidRDefault="00484C33" w:rsidP="004627E0">
            <w:pPr>
              <w:spacing w:after="120"/>
              <w:rPr>
                <w:rFonts w:ascii="Times New Roman" w:eastAsia="Times New Roman" w:hAnsi="Times New Roman" w:cs="Times New Roman"/>
                <w:b/>
                <w:bCs/>
                <w:color w:val="000000"/>
              </w:rPr>
            </w:pPr>
            <w:r w:rsidRPr="00F66630">
              <w:rPr>
                <w:rFonts w:ascii="Times New Roman" w:hAnsi="Times New Roman" w:cs="Times New Roman"/>
                <w:b/>
                <w:bCs/>
              </w:rPr>
              <w:t>13.3</w:t>
            </w:r>
            <w:r w:rsidRPr="00F66630">
              <w:rPr>
                <w:rFonts w:ascii="Times New Roman" w:eastAsia="Times New Roman" w:hAnsi="Times New Roman" w:cs="Times New Roman"/>
                <w:b/>
                <w:bCs/>
                <w:color w:val="000000"/>
              </w:rPr>
              <w:t xml:space="preserve">: </w:t>
            </w:r>
            <w:r w:rsidR="0086599F" w:rsidRPr="00F66630">
              <w:rPr>
                <w:rFonts w:ascii="Times New Roman" w:eastAsia="Times New Roman" w:hAnsi="Times New Roman" w:cs="Times New Roman"/>
                <w:b/>
                <w:bCs/>
                <w:color w:val="000000"/>
              </w:rPr>
              <w:t>The Participating State has executed at least 90 percent of the tagged COVID-19 response expenditures in their 2021 State Budget, per criteria set out in the Verification Protocol</w:t>
            </w:r>
            <w:r w:rsidRPr="00F66630">
              <w:rPr>
                <w:rFonts w:ascii="Times New Roman" w:hAnsi="Times New Roman" w:cs="Times New Roman"/>
                <w:b/>
                <w:bCs/>
              </w:rPr>
              <w:t xml:space="preserve">. </w:t>
            </w:r>
          </w:p>
        </w:tc>
        <w:tc>
          <w:tcPr>
            <w:tcW w:w="4119" w:type="pct"/>
          </w:tcPr>
          <w:p w14:paraId="20901A7C" w14:textId="62F9E70C" w:rsidR="002F5CD4" w:rsidRPr="00F66630" w:rsidRDefault="00377FC1" w:rsidP="00BA12DB">
            <w:pPr>
              <w:widowControl w:val="0"/>
              <w:autoSpaceDE w:val="0"/>
              <w:autoSpaceDN w:val="0"/>
              <w:adjustRightInd w:val="0"/>
              <w:spacing w:line="256" w:lineRule="auto"/>
              <w:rPr>
                <w:rFonts w:ascii="Times New Roman" w:hAnsi="Times New Roman"/>
                <w:b/>
                <w:bCs/>
                <w:iCs/>
              </w:rPr>
            </w:pPr>
            <w:r w:rsidRPr="00F66630">
              <w:rPr>
                <w:rFonts w:ascii="Times New Roman" w:hAnsi="Times New Roman"/>
                <w:b/>
                <w:bCs/>
                <w:iCs/>
              </w:rPr>
              <w:t xml:space="preserve">To achieve DLR 13.3, the state needs to have executed at least 90 percent of its total COVID-19 response expenditures budgeted in their </w:t>
            </w:r>
            <w:r w:rsidR="000E738E" w:rsidRPr="00F66630">
              <w:rPr>
                <w:rFonts w:ascii="Times New Roman" w:hAnsi="Times New Roman"/>
                <w:b/>
                <w:bCs/>
                <w:iCs/>
              </w:rPr>
              <w:t xml:space="preserve">approved original </w:t>
            </w:r>
            <w:r w:rsidRPr="00F66630">
              <w:rPr>
                <w:rFonts w:ascii="Times New Roman" w:hAnsi="Times New Roman"/>
                <w:b/>
                <w:bCs/>
                <w:iCs/>
              </w:rPr>
              <w:t>202</w:t>
            </w:r>
            <w:r w:rsidR="000E738E" w:rsidRPr="00F66630">
              <w:rPr>
                <w:rFonts w:ascii="Times New Roman" w:hAnsi="Times New Roman"/>
                <w:b/>
                <w:bCs/>
                <w:iCs/>
              </w:rPr>
              <w:t>1</w:t>
            </w:r>
            <w:r w:rsidRPr="00F66630">
              <w:rPr>
                <w:rFonts w:ascii="Times New Roman" w:hAnsi="Times New Roman"/>
                <w:b/>
                <w:bCs/>
                <w:iCs/>
              </w:rPr>
              <w:t xml:space="preserve"> Budget, net of exclusions, within the financial year 202</w:t>
            </w:r>
            <w:r w:rsidR="000E738E" w:rsidRPr="00F66630">
              <w:rPr>
                <w:rFonts w:ascii="Times New Roman" w:hAnsi="Times New Roman"/>
                <w:b/>
                <w:bCs/>
                <w:iCs/>
              </w:rPr>
              <w:t>1</w:t>
            </w:r>
            <w:r w:rsidRPr="00F66630">
              <w:rPr>
                <w:rFonts w:ascii="Times New Roman" w:hAnsi="Times New Roman"/>
                <w:b/>
                <w:bCs/>
                <w:iCs/>
              </w:rPr>
              <w:t>.</w:t>
            </w:r>
          </w:p>
          <w:p w14:paraId="6436C54B" w14:textId="159F6FC8" w:rsidR="00377FC1" w:rsidRPr="00F66630" w:rsidRDefault="00377FC1" w:rsidP="00E4049E">
            <w:pPr>
              <w:widowControl w:val="0"/>
              <w:autoSpaceDE w:val="0"/>
              <w:autoSpaceDN w:val="0"/>
              <w:adjustRightInd w:val="0"/>
              <w:spacing w:line="256" w:lineRule="auto"/>
              <w:rPr>
                <w:rFonts w:ascii="Times New Roman" w:hAnsi="Times New Roman"/>
                <w:b/>
                <w:bCs/>
                <w:iCs/>
              </w:rPr>
            </w:pPr>
            <w:r w:rsidRPr="00F66630">
              <w:rPr>
                <w:rFonts w:ascii="Times New Roman" w:hAnsi="Times New Roman"/>
                <w:b/>
                <w:bCs/>
                <w:iCs/>
              </w:rPr>
              <w:t xml:space="preserve"> </w:t>
            </w:r>
          </w:p>
          <w:p w14:paraId="243BA790" w14:textId="2F67A5A3" w:rsidR="00377FC1" w:rsidRPr="00F66630" w:rsidRDefault="00377FC1" w:rsidP="00DB6F73">
            <w:pPr>
              <w:pStyle w:val="ListParagraph"/>
              <w:numPr>
                <w:ilvl w:val="0"/>
                <w:numId w:val="81"/>
              </w:numPr>
              <w:spacing w:after="120"/>
              <w:rPr>
                <w:rFonts w:ascii="Times New Roman" w:hAnsi="Times New Roman" w:cs="Times New Roman"/>
                <w:b/>
                <w:bCs/>
              </w:rPr>
            </w:pPr>
            <w:r w:rsidRPr="00F66630">
              <w:rPr>
                <w:rFonts w:ascii="Times New Roman" w:hAnsi="Times New Roman" w:cs="Times New Roman"/>
              </w:rPr>
              <w:t xml:space="preserve">Definition of </w:t>
            </w:r>
            <w:r w:rsidRPr="00F66630">
              <w:rPr>
                <w:rFonts w:ascii="Times New Roman" w:hAnsi="Times New Roman" w:cs="Times New Roman"/>
                <w:b/>
                <w:bCs/>
              </w:rPr>
              <w:t>budgeted</w:t>
            </w:r>
            <w:r w:rsidRPr="00F66630">
              <w:rPr>
                <w:rFonts w:ascii="Times New Roman" w:hAnsi="Times New Roman" w:cs="Times New Roman"/>
              </w:rPr>
              <w:t xml:space="preserve"> </w:t>
            </w:r>
            <w:r w:rsidRPr="00F66630">
              <w:rPr>
                <w:rFonts w:ascii="Times New Roman" w:hAnsi="Times New Roman" w:cs="Times New Roman"/>
                <w:b/>
                <w:bCs/>
              </w:rPr>
              <w:t>COVID-19 response expenditures</w:t>
            </w:r>
            <w:r w:rsidR="004627E0" w:rsidRPr="00F66630">
              <w:rPr>
                <w:rFonts w:ascii="Times New Roman" w:hAnsi="Times New Roman" w:cs="Times New Roman"/>
                <w:b/>
                <w:bCs/>
              </w:rPr>
              <w:t xml:space="preserve"> and requirement as a share of total budget</w:t>
            </w:r>
            <w:r w:rsidRPr="00F66630">
              <w:rPr>
                <w:rFonts w:ascii="Times New Roman" w:hAnsi="Times New Roman" w:cs="Times New Roman"/>
                <w:b/>
                <w:bCs/>
              </w:rPr>
              <w:t>:</w:t>
            </w:r>
          </w:p>
          <w:p w14:paraId="4C066C93" w14:textId="77777777" w:rsidR="00E82574" w:rsidRPr="00F66630" w:rsidRDefault="00377FC1" w:rsidP="00D86D08">
            <w:pPr>
              <w:pStyle w:val="ListParagraph"/>
              <w:widowControl w:val="0"/>
              <w:numPr>
                <w:ilvl w:val="0"/>
                <w:numId w:val="82"/>
              </w:numPr>
              <w:autoSpaceDE w:val="0"/>
              <w:autoSpaceDN w:val="0"/>
              <w:adjustRightInd w:val="0"/>
              <w:spacing w:line="256" w:lineRule="auto"/>
              <w:rPr>
                <w:rFonts w:ascii="Times New Roman" w:hAnsi="Times New Roman"/>
                <w:iCs/>
              </w:rPr>
            </w:pPr>
            <w:r w:rsidRPr="00F66630">
              <w:rPr>
                <w:rFonts w:ascii="Times New Roman" w:hAnsi="Times New Roman"/>
                <w:iCs/>
              </w:rPr>
              <w:t xml:space="preserve">Budgeted COVID-19 response expenditures refer to the expenditures which have been tagged as COVID-19 response in the </w:t>
            </w:r>
            <w:r w:rsidRPr="00F66630">
              <w:rPr>
                <w:rFonts w:ascii="Times New Roman" w:eastAsia="Times New Roman" w:hAnsi="Times New Roman" w:cs="Times New Roman"/>
                <w:noProof/>
                <w:color w:val="000000"/>
              </w:rPr>
              <w:t xml:space="preserve">detailed </w:t>
            </w:r>
            <w:r w:rsidR="000E738E" w:rsidRPr="00F66630">
              <w:rPr>
                <w:rFonts w:ascii="Times New Roman" w:eastAsia="Times New Roman" w:hAnsi="Times New Roman" w:cs="Times New Roman"/>
                <w:noProof/>
                <w:color w:val="000000"/>
              </w:rPr>
              <w:t xml:space="preserve">approved original </w:t>
            </w:r>
            <w:r w:rsidRPr="00F66630">
              <w:rPr>
                <w:rFonts w:ascii="Times New Roman" w:eastAsia="Times New Roman" w:hAnsi="Times New Roman" w:cs="Times New Roman"/>
                <w:noProof/>
                <w:color w:val="000000"/>
              </w:rPr>
              <w:t>202</w:t>
            </w:r>
            <w:r w:rsidR="000E738E" w:rsidRPr="00F66630">
              <w:rPr>
                <w:rFonts w:ascii="Times New Roman" w:eastAsia="Times New Roman" w:hAnsi="Times New Roman" w:cs="Times New Roman"/>
                <w:noProof/>
                <w:color w:val="000000"/>
              </w:rPr>
              <w:t>1</w:t>
            </w:r>
            <w:r w:rsidRPr="00F66630">
              <w:rPr>
                <w:rFonts w:ascii="Times New Roman" w:eastAsia="Times New Roman" w:hAnsi="Times New Roman" w:cs="Times New Roman"/>
                <w:noProof/>
                <w:color w:val="000000"/>
              </w:rPr>
              <w:t xml:space="preserve"> Budget expenditure allocation table.</w:t>
            </w:r>
          </w:p>
          <w:p w14:paraId="6A61B300" w14:textId="41DCC60D" w:rsidR="00E82574" w:rsidRPr="00F66630" w:rsidRDefault="00E82574" w:rsidP="00D86D08">
            <w:pPr>
              <w:pStyle w:val="ListParagraph"/>
              <w:widowControl w:val="0"/>
              <w:numPr>
                <w:ilvl w:val="0"/>
                <w:numId w:val="82"/>
              </w:numPr>
              <w:autoSpaceDE w:val="0"/>
              <w:autoSpaceDN w:val="0"/>
              <w:adjustRightInd w:val="0"/>
              <w:spacing w:line="256" w:lineRule="auto"/>
              <w:rPr>
                <w:rFonts w:ascii="Times New Roman" w:eastAsia="Times New Roman" w:hAnsi="Times New Roman" w:cs="Times New Roman"/>
                <w:noProof/>
                <w:color w:val="000000"/>
              </w:rPr>
            </w:pPr>
            <w:bookmarkStart w:id="52" w:name="_Hlk57716737"/>
            <w:r w:rsidRPr="00F66630">
              <w:rPr>
                <w:rFonts w:ascii="Times New Roman" w:eastAsia="Times New Roman" w:hAnsi="Times New Roman" w:cs="Times New Roman"/>
                <w:noProof/>
                <w:color w:val="000000"/>
              </w:rPr>
              <w:t>The total COVID-</w:t>
            </w:r>
            <w:r w:rsidR="00ED1424" w:rsidRPr="00F66630">
              <w:rPr>
                <w:rFonts w:ascii="Times New Roman" w:eastAsia="Times New Roman" w:hAnsi="Times New Roman" w:cs="Times New Roman"/>
                <w:noProof/>
                <w:color w:val="000000"/>
              </w:rPr>
              <w:t xml:space="preserve">19 response </w:t>
            </w:r>
            <w:r w:rsidRPr="00F66630">
              <w:rPr>
                <w:rFonts w:ascii="Times New Roman" w:eastAsia="Times New Roman" w:hAnsi="Times New Roman" w:cs="Times New Roman"/>
                <w:noProof/>
                <w:color w:val="000000"/>
              </w:rPr>
              <w:t>expenditure</w:t>
            </w:r>
            <w:r w:rsidR="00ED1424" w:rsidRPr="00F66630">
              <w:rPr>
                <w:rFonts w:ascii="Times New Roman" w:eastAsia="Times New Roman" w:hAnsi="Times New Roman" w:cs="Times New Roman"/>
                <w:noProof/>
                <w:color w:val="000000"/>
              </w:rPr>
              <w:t xml:space="preserve">s </w:t>
            </w:r>
            <w:r w:rsidRPr="00F66630">
              <w:rPr>
                <w:rFonts w:ascii="Times New Roman" w:eastAsia="Times New Roman" w:hAnsi="Times New Roman" w:cs="Times New Roman"/>
                <w:noProof/>
                <w:color w:val="000000"/>
              </w:rPr>
              <w:t xml:space="preserve">need to be at least 5% of the total </w:t>
            </w:r>
            <w:r w:rsidR="00ED1424" w:rsidRPr="00F66630">
              <w:rPr>
                <w:rFonts w:ascii="Times New Roman" w:eastAsia="Times New Roman" w:hAnsi="Times New Roman" w:cs="Times New Roman"/>
                <w:noProof/>
                <w:color w:val="000000"/>
              </w:rPr>
              <w:t xml:space="preserve">approved original </w:t>
            </w:r>
            <w:r w:rsidRPr="00F66630">
              <w:rPr>
                <w:rFonts w:ascii="Times New Roman" w:eastAsia="Times New Roman" w:hAnsi="Times New Roman" w:cs="Times New Roman"/>
                <w:noProof/>
                <w:color w:val="000000"/>
              </w:rPr>
              <w:t>2021 Budget</w:t>
            </w:r>
            <w:r w:rsidR="00492968" w:rsidRPr="00F66630">
              <w:rPr>
                <w:rFonts w:ascii="Times New Roman" w:eastAsia="Times New Roman" w:hAnsi="Times New Roman" w:cs="Times New Roman"/>
                <w:noProof/>
                <w:color w:val="000000"/>
              </w:rPr>
              <w:t xml:space="preserve"> expenditures</w:t>
            </w:r>
            <w:bookmarkEnd w:id="52"/>
            <w:r w:rsidRPr="00F66630">
              <w:rPr>
                <w:rFonts w:ascii="Times New Roman" w:eastAsia="Times New Roman" w:hAnsi="Times New Roman" w:cs="Times New Roman"/>
                <w:noProof/>
                <w:color w:val="000000"/>
              </w:rPr>
              <w:t xml:space="preserve">. </w:t>
            </w:r>
          </w:p>
          <w:p w14:paraId="411CE675" w14:textId="784F5E4B" w:rsidR="00E82574" w:rsidRPr="00F66630" w:rsidRDefault="00E82574" w:rsidP="00D86D08">
            <w:pPr>
              <w:pStyle w:val="ListParagraph"/>
              <w:widowControl w:val="0"/>
              <w:numPr>
                <w:ilvl w:val="0"/>
                <w:numId w:val="82"/>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For the purposes of this DL</w:t>
            </w:r>
            <w:r w:rsidR="00492968" w:rsidRPr="00F66630">
              <w:rPr>
                <w:rFonts w:ascii="Times New Roman" w:eastAsia="Times New Roman" w:hAnsi="Times New Roman" w:cs="Times New Roman"/>
                <w:noProof/>
                <w:color w:val="000000"/>
              </w:rPr>
              <w:t>R</w:t>
            </w:r>
            <w:r w:rsidRPr="00F66630">
              <w:rPr>
                <w:rFonts w:ascii="Times New Roman" w:eastAsia="Times New Roman" w:hAnsi="Times New Roman" w:cs="Times New Roman"/>
                <w:noProof/>
                <w:color w:val="000000"/>
              </w:rPr>
              <w:t xml:space="preserve">, </w:t>
            </w:r>
            <w:r w:rsidR="00492968" w:rsidRPr="00F66630">
              <w:rPr>
                <w:rFonts w:ascii="Times New Roman" w:eastAsia="Times New Roman" w:hAnsi="Times New Roman" w:cs="Times New Roman"/>
                <w:noProof/>
                <w:color w:val="000000"/>
              </w:rPr>
              <w:t xml:space="preserve">the </w:t>
            </w:r>
            <w:r w:rsidRPr="00F66630">
              <w:rPr>
                <w:rFonts w:ascii="Times New Roman" w:eastAsia="Times New Roman" w:hAnsi="Times New Roman" w:cs="Times New Roman"/>
                <w:noProof/>
                <w:color w:val="000000"/>
              </w:rPr>
              <w:t>approved original 2021 budgets will evaluated. Supplementary budgets passed during 2021 to add, delete or amend the allocations to these budget lines will not be considered for the denominator.</w:t>
            </w:r>
          </w:p>
          <w:p w14:paraId="487958AB" w14:textId="77777777" w:rsidR="001F5E52" w:rsidRPr="00F66630" w:rsidRDefault="001F5E52" w:rsidP="001F5E52">
            <w:pPr>
              <w:pStyle w:val="ListParagraph"/>
              <w:widowControl w:val="0"/>
              <w:autoSpaceDE w:val="0"/>
              <w:autoSpaceDN w:val="0"/>
              <w:adjustRightInd w:val="0"/>
              <w:spacing w:after="120" w:line="256" w:lineRule="auto"/>
              <w:ind w:left="360"/>
              <w:rPr>
                <w:rFonts w:ascii="Times New Roman" w:hAnsi="Times New Roman"/>
                <w:iCs/>
              </w:rPr>
            </w:pPr>
          </w:p>
          <w:p w14:paraId="21B4829D" w14:textId="3BFBDDD0" w:rsidR="00377FC1" w:rsidRPr="00F66630" w:rsidRDefault="00377FC1" w:rsidP="00D86D08">
            <w:pPr>
              <w:pStyle w:val="ListParagraph"/>
              <w:widowControl w:val="0"/>
              <w:numPr>
                <w:ilvl w:val="0"/>
                <w:numId w:val="81"/>
              </w:numPr>
              <w:autoSpaceDE w:val="0"/>
              <w:autoSpaceDN w:val="0"/>
              <w:adjustRightInd w:val="0"/>
              <w:spacing w:after="120" w:line="256" w:lineRule="auto"/>
              <w:rPr>
                <w:rFonts w:ascii="Times New Roman" w:hAnsi="Times New Roman"/>
                <w:iCs/>
              </w:rPr>
            </w:pPr>
            <w:r w:rsidRPr="00F66630">
              <w:rPr>
                <w:rFonts w:ascii="Times New Roman" w:hAnsi="Times New Roman"/>
                <w:iCs/>
              </w:rPr>
              <w:t xml:space="preserve">In calculating the percentage of budgeted COVID-19 response expenditures executed, the following </w:t>
            </w:r>
            <w:r w:rsidRPr="00F66630">
              <w:rPr>
                <w:rFonts w:ascii="Times New Roman" w:hAnsi="Times New Roman"/>
                <w:b/>
                <w:bCs/>
                <w:iCs/>
              </w:rPr>
              <w:t>exclusions</w:t>
            </w:r>
            <w:r w:rsidRPr="00F66630">
              <w:rPr>
                <w:rFonts w:ascii="Times New Roman" w:hAnsi="Times New Roman"/>
                <w:iCs/>
              </w:rPr>
              <w:t xml:space="preserve"> shall be applied: </w:t>
            </w:r>
          </w:p>
          <w:p w14:paraId="25037F14" w14:textId="117F3A27" w:rsidR="00377FC1" w:rsidRPr="00F66630" w:rsidRDefault="00377FC1" w:rsidP="00D86D08">
            <w:pPr>
              <w:pStyle w:val="ListParagraph"/>
              <w:widowControl w:val="0"/>
              <w:numPr>
                <w:ilvl w:val="0"/>
                <w:numId w:val="83"/>
              </w:numPr>
              <w:autoSpaceDE w:val="0"/>
              <w:autoSpaceDN w:val="0"/>
              <w:adjustRightInd w:val="0"/>
              <w:spacing w:line="256" w:lineRule="auto"/>
              <w:rPr>
                <w:rFonts w:ascii="Times New Roman" w:hAnsi="Times New Roman"/>
                <w:iCs/>
              </w:rPr>
            </w:pPr>
            <w:r w:rsidRPr="00F66630">
              <w:rPr>
                <w:rFonts w:ascii="Times New Roman" w:hAnsi="Times New Roman"/>
                <w:iCs/>
              </w:rPr>
              <w:t>Exclude expenditures that were to be financed from earmarked Federal Government COVID-19 response funds that did not materialize in CY202</w:t>
            </w:r>
            <w:r w:rsidR="0095613D" w:rsidRPr="00F66630">
              <w:rPr>
                <w:rFonts w:ascii="Times New Roman" w:hAnsi="Times New Roman"/>
                <w:iCs/>
              </w:rPr>
              <w:t>1</w:t>
            </w:r>
            <w:r w:rsidRPr="00F66630">
              <w:rPr>
                <w:rFonts w:ascii="Times New Roman" w:hAnsi="Times New Roman"/>
                <w:iCs/>
              </w:rPr>
              <w:t xml:space="preserve"> because of factors beyond the State Government’s control, rather than the State Government’s failure to access the funds available. These expenditures will be excluded from the denominator (the State’s total budgeted COVID-19 response expenditures in the </w:t>
            </w:r>
            <w:r w:rsidR="0095613D" w:rsidRPr="00F66630">
              <w:rPr>
                <w:rFonts w:ascii="Times New Roman" w:hAnsi="Times New Roman"/>
                <w:iCs/>
              </w:rPr>
              <w:t>original 2021</w:t>
            </w:r>
            <w:r w:rsidRPr="00F66630">
              <w:rPr>
                <w:rFonts w:ascii="Times New Roman" w:hAnsi="Times New Roman"/>
                <w:iCs/>
              </w:rPr>
              <w:t xml:space="preserve"> Budget)</w:t>
            </w:r>
            <w:r w:rsidR="008367D8" w:rsidRPr="00F66630">
              <w:rPr>
                <w:rFonts w:ascii="Times New Roman" w:hAnsi="Times New Roman"/>
                <w:iCs/>
              </w:rPr>
              <w:t xml:space="preserve"> – but not the numerator in case States were able to finance those expenditures from other sources</w:t>
            </w:r>
            <w:r w:rsidRPr="00F66630">
              <w:rPr>
                <w:rFonts w:ascii="Times New Roman" w:hAnsi="Times New Roman"/>
                <w:iCs/>
              </w:rPr>
              <w:t xml:space="preserve">. </w:t>
            </w:r>
          </w:p>
          <w:p w14:paraId="517CD1C4" w14:textId="77777777" w:rsidR="001F5E52" w:rsidRPr="00F66630" w:rsidRDefault="001F5E52" w:rsidP="001F5E52">
            <w:pPr>
              <w:pStyle w:val="ListParagraph"/>
              <w:spacing w:after="120"/>
              <w:ind w:left="360"/>
              <w:rPr>
                <w:rFonts w:ascii="Times New Roman" w:hAnsi="Times New Roman"/>
                <w:iCs/>
              </w:rPr>
            </w:pPr>
          </w:p>
          <w:p w14:paraId="2C151150" w14:textId="21A1CE4B" w:rsidR="00377FC1" w:rsidRPr="00F66630" w:rsidRDefault="00377FC1" w:rsidP="00677A55">
            <w:pPr>
              <w:numPr>
                <w:ilvl w:val="0"/>
                <w:numId w:val="81"/>
              </w:numPr>
              <w:spacing w:after="120"/>
              <w:contextualSpacing/>
              <w:rPr>
                <w:rFonts w:ascii="Times New Roman" w:hAnsi="Times New Roman"/>
                <w:iCs/>
              </w:rPr>
            </w:pPr>
            <w:r w:rsidRPr="00F66630">
              <w:rPr>
                <w:rFonts w:ascii="Times New Roman" w:hAnsi="Times New Roman"/>
                <w:iCs/>
              </w:rPr>
              <w:t xml:space="preserve">The following shall </w:t>
            </w:r>
            <w:r w:rsidRPr="00F66630">
              <w:rPr>
                <w:rFonts w:ascii="Times New Roman" w:hAnsi="Times New Roman"/>
                <w:b/>
                <w:bCs/>
                <w:iCs/>
              </w:rPr>
              <w:t>not be excluded</w:t>
            </w:r>
            <w:r w:rsidR="00E55F58" w:rsidRPr="00F66630">
              <w:rPr>
                <w:rFonts w:ascii="Times New Roman" w:hAnsi="Times New Roman"/>
                <w:b/>
                <w:bCs/>
                <w:iCs/>
              </w:rPr>
              <w:t xml:space="preserve"> </w:t>
            </w:r>
            <w:r w:rsidR="00E55F58" w:rsidRPr="00F66630">
              <w:rPr>
                <w:rFonts w:ascii="Times New Roman" w:hAnsi="Times New Roman"/>
                <w:iCs/>
              </w:rPr>
              <w:t>(from the numerator or denominator):</w:t>
            </w:r>
          </w:p>
          <w:p w14:paraId="3F4606C0" w14:textId="4E8F4EA9" w:rsidR="00377FC1" w:rsidRPr="00F66630" w:rsidRDefault="00377FC1" w:rsidP="00D86D08">
            <w:pPr>
              <w:pStyle w:val="ListParagraph"/>
              <w:widowControl w:val="0"/>
              <w:numPr>
                <w:ilvl w:val="0"/>
                <w:numId w:val="84"/>
              </w:numPr>
              <w:autoSpaceDE w:val="0"/>
              <w:autoSpaceDN w:val="0"/>
              <w:adjustRightInd w:val="0"/>
              <w:spacing w:line="256" w:lineRule="auto"/>
              <w:rPr>
                <w:rFonts w:ascii="Times New Roman" w:hAnsi="Times New Roman"/>
                <w:iCs/>
              </w:rPr>
            </w:pPr>
            <w:r w:rsidRPr="00F66630">
              <w:rPr>
                <w:rFonts w:ascii="Times New Roman" w:hAnsi="Times New Roman"/>
                <w:iCs/>
              </w:rPr>
              <w:t xml:space="preserve">Expenditures that were to be financed from funds that were </w:t>
            </w:r>
            <w:proofErr w:type="gramStart"/>
            <w:r w:rsidRPr="00F66630">
              <w:rPr>
                <w:rFonts w:ascii="Times New Roman" w:hAnsi="Times New Roman"/>
                <w:iCs/>
              </w:rPr>
              <w:t>available</w:t>
            </w:r>
            <w:proofErr w:type="gramEnd"/>
            <w:r w:rsidRPr="00F66630">
              <w:rPr>
                <w:rFonts w:ascii="Times New Roman" w:hAnsi="Times New Roman"/>
                <w:iCs/>
              </w:rPr>
              <w:t xml:space="preserve"> but the State failed to comply with the requirements to access them in CY202</w:t>
            </w:r>
            <w:r w:rsidR="009265E5" w:rsidRPr="00F66630">
              <w:rPr>
                <w:rFonts w:ascii="Times New Roman" w:hAnsi="Times New Roman"/>
                <w:iCs/>
              </w:rPr>
              <w:t>1</w:t>
            </w:r>
            <w:r w:rsidRPr="00F66630">
              <w:rPr>
                <w:rFonts w:ascii="Times New Roman" w:hAnsi="Times New Roman"/>
                <w:iCs/>
              </w:rPr>
              <w:t xml:space="preserve"> (e.g. UBEC, where States access the funds conditional they can mobilize matching grants; or SFTAS, where State needs to achieve results for the disbursements to be effected). </w:t>
            </w:r>
          </w:p>
          <w:p w14:paraId="7C7DC1AC" w14:textId="77777777" w:rsidR="00377FC1" w:rsidRPr="00F66630" w:rsidRDefault="00377FC1" w:rsidP="00D86D08">
            <w:pPr>
              <w:pStyle w:val="ListParagraph"/>
              <w:widowControl w:val="0"/>
              <w:numPr>
                <w:ilvl w:val="0"/>
                <w:numId w:val="84"/>
              </w:numPr>
              <w:autoSpaceDE w:val="0"/>
              <w:autoSpaceDN w:val="0"/>
              <w:adjustRightInd w:val="0"/>
              <w:spacing w:line="256" w:lineRule="auto"/>
              <w:rPr>
                <w:rFonts w:ascii="Times New Roman" w:hAnsi="Times New Roman"/>
                <w:iCs/>
              </w:rPr>
            </w:pPr>
            <w:r w:rsidRPr="00F66630">
              <w:rPr>
                <w:rFonts w:ascii="Times New Roman" w:hAnsi="Times New Roman"/>
                <w:iCs/>
              </w:rPr>
              <w:t xml:space="preserve">Gross Statutory Allocation or other share of FAAC transfers, as these are not earmarked. </w:t>
            </w:r>
          </w:p>
          <w:p w14:paraId="7F7BE016" w14:textId="6607151D" w:rsidR="00377FC1" w:rsidRPr="00F66630" w:rsidRDefault="00377FC1" w:rsidP="00D86D08">
            <w:pPr>
              <w:pStyle w:val="ListParagraph"/>
              <w:widowControl w:val="0"/>
              <w:numPr>
                <w:ilvl w:val="0"/>
                <w:numId w:val="84"/>
              </w:numPr>
              <w:autoSpaceDE w:val="0"/>
              <w:autoSpaceDN w:val="0"/>
              <w:adjustRightInd w:val="0"/>
              <w:spacing w:line="256" w:lineRule="auto"/>
              <w:rPr>
                <w:rFonts w:ascii="Times New Roman" w:hAnsi="Times New Roman"/>
                <w:iCs/>
              </w:rPr>
            </w:pPr>
            <w:r w:rsidRPr="00F66630">
              <w:rPr>
                <w:rFonts w:ascii="Times New Roman" w:hAnsi="Times New Roman"/>
                <w:iCs/>
              </w:rPr>
              <w:t xml:space="preserve">Other revenue or financing items that are not earmarked for specific </w:t>
            </w:r>
            <w:r w:rsidR="00FB0741" w:rsidRPr="00F66630">
              <w:rPr>
                <w:rFonts w:ascii="Times New Roman" w:hAnsi="Times New Roman"/>
                <w:iCs/>
              </w:rPr>
              <w:t xml:space="preserve">COVID-19 response </w:t>
            </w:r>
            <w:r w:rsidRPr="00F66630">
              <w:rPr>
                <w:rFonts w:ascii="Times New Roman" w:hAnsi="Times New Roman"/>
                <w:iCs/>
              </w:rPr>
              <w:t xml:space="preserve">spending. </w:t>
            </w:r>
          </w:p>
          <w:p w14:paraId="4E61C315" w14:textId="77777777" w:rsidR="001F5E52" w:rsidRPr="00F66630" w:rsidRDefault="001F5E52" w:rsidP="001F5E52">
            <w:pPr>
              <w:pStyle w:val="ListParagraph"/>
              <w:spacing w:after="120"/>
              <w:ind w:left="360"/>
              <w:rPr>
                <w:rFonts w:ascii="Times New Roman" w:hAnsi="Times New Roman"/>
                <w:iCs/>
              </w:rPr>
            </w:pPr>
          </w:p>
          <w:p w14:paraId="4E50AEE4" w14:textId="3C88278B" w:rsidR="00377FC1" w:rsidRPr="00F66630" w:rsidRDefault="00377FC1" w:rsidP="00D86D08">
            <w:pPr>
              <w:pStyle w:val="ListParagraph"/>
              <w:numPr>
                <w:ilvl w:val="0"/>
                <w:numId w:val="81"/>
              </w:numPr>
              <w:spacing w:after="120"/>
              <w:rPr>
                <w:rFonts w:ascii="Times New Roman" w:hAnsi="Times New Roman"/>
                <w:iCs/>
              </w:rPr>
            </w:pPr>
            <w:r w:rsidRPr="00F66630">
              <w:rPr>
                <w:rFonts w:ascii="Times New Roman" w:hAnsi="Times New Roman"/>
                <w:iCs/>
              </w:rPr>
              <w:t xml:space="preserve">Only the COVID-19 expenditures executed in the financial year </w:t>
            </w:r>
            <w:r w:rsidR="008B1EA2" w:rsidRPr="00F66630">
              <w:rPr>
                <w:rFonts w:ascii="Times New Roman" w:hAnsi="Times New Roman"/>
                <w:iCs/>
              </w:rPr>
              <w:t xml:space="preserve">2021 (January 1 – December 31, 2021) </w:t>
            </w:r>
            <w:r w:rsidRPr="00F66630">
              <w:rPr>
                <w:rFonts w:ascii="Times New Roman" w:hAnsi="Times New Roman"/>
                <w:iCs/>
              </w:rPr>
              <w:t xml:space="preserve">will be considered for the purpose of the calculation. </w:t>
            </w:r>
          </w:p>
          <w:p w14:paraId="0395D5E0" w14:textId="77777777" w:rsidR="001F5E52" w:rsidRPr="00F66630" w:rsidRDefault="001F5E52" w:rsidP="001F5E52">
            <w:pPr>
              <w:pStyle w:val="ListParagraph"/>
              <w:spacing w:after="120"/>
              <w:ind w:left="360"/>
              <w:rPr>
                <w:rFonts w:ascii="Times New Roman" w:hAnsi="Times New Roman"/>
                <w:iCs/>
              </w:rPr>
            </w:pPr>
          </w:p>
          <w:p w14:paraId="08524742" w14:textId="1785D054" w:rsidR="00377FC1" w:rsidRPr="00F66630" w:rsidRDefault="00377FC1" w:rsidP="00D86D08">
            <w:pPr>
              <w:pStyle w:val="ListParagraph"/>
              <w:numPr>
                <w:ilvl w:val="0"/>
                <w:numId w:val="81"/>
              </w:numPr>
              <w:spacing w:after="120"/>
              <w:rPr>
                <w:rFonts w:ascii="Times New Roman" w:hAnsi="Times New Roman"/>
                <w:iCs/>
              </w:rPr>
            </w:pPr>
            <w:r w:rsidRPr="00F66630">
              <w:rPr>
                <w:rFonts w:ascii="Times New Roman" w:hAnsi="Times New Roman"/>
                <w:iCs/>
              </w:rPr>
              <w:t xml:space="preserve">Once exclusions are applied, the </w:t>
            </w:r>
            <w:r w:rsidRPr="00F66630">
              <w:rPr>
                <w:rFonts w:ascii="Times New Roman" w:hAnsi="Times New Roman"/>
                <w:b/>
                <w:bCs/>
                <w:iCs/>
              </w:rPr>
              <w:t>calculation</w:t>
            </w:r>
            <w:r w:rsidRPr="00F66630">
              <w:rPr>
                <w:rFonts w:ascii="Times New Roman" w:hAnsi="Times New Roman"/>
                <w:iCs/>
              </w:rPr>
              <w:t xml:space="preserve"> of the percentage of COVID-19 response will utilize the following formula: </w:t>
            </w:r>
          </w:p>
          <w:p w14:paraId="0E7F59C5" w14:textId="71D8B35F" w:rsidR="00377FC1" w:rsidRPr="00F66630" w:rsidRDefault="00377FC1" w:rsidP="001F5E52">
            <w:pPr>
              <w:spacing w:after="120"/>
              <w:ind w:left="1440"/>
              <w:rPr>
                <w:rFonts w:ascii="Times New Roman" w:hAnsi="Times New Roman"/>
                <w:iCs/>
              </w:rPr>
            </w:pPr>
            <w:r w:rsidRPr="00F66630">
              <w:rPr>
                <w:rFonts w:ascii="Times New Roman" w:hAnsi="Times New Roman"/>
                <w:iCs/>
              </w:rPr>
              <w:t>Percentage of COVID-19 response expenditures executed =</w:t>
            </w:r>
            <w:r w:rsidR="001F5E52" w:rsidRPr="00F66630">
              <w:rPr>
                <w:rFonts w:ascii="Times New Roman" w:hAnsi="Times New Roman"/>
                <w:iCs/>
              </w:rPr>
              <w:t xml:space="preserve"> </w:t>
            </w:r>
            <w:r w:rsidRPr="00F66630">
              <w:rPr>
                <w:rFonts w:ascii="Times New Roman" w:hAnsi="Times New Roman"/>
                <w:iCs/>
              </w:rPr>
              <w:t>100 x (total COVID-19 response expenditures executed in 202</w:t>
            </w:r>
            <w:r w:rsidR="008B1EA2" w:rsidRPr="00F66630">
              <w:rPr>
                <w:rFonts w:ascii="Times New Roman" w:hAnsi="Times New Roman"/>
                <w:iCs/>
              </w:rPr>
              <w:t>1</w:t>
            </w:r>
            <w:r w:rsidRPr="00F66630">
              <w:rPr>
                <w:rFonts w:ascii="Times New Roman" w:hAnsi="Times New Roman"/>
                <w:iCs/>
              </w:rPr>
              <w:t xml:space="preserve"> </w:t>
            </w:r>
            <w:proofErr w:type="gramStart"/>
            <w:r w:rsidRPr="00F66630">
              <w:rPr>
                <w:rFonts w:ascii="Times New Roman" w:hAnsi="Times New Roman"/>
                <w:iCs/>
              </w:rPr>
              <w:t>i.e.</w:t>
            </w:r>
            <w:proofErr w:type="gramEnd"/>
            <w:r w:rsidRPr="00F66630">
              <w:rPr>
                <w:rFonts w:ascii="Times New Roman" w:hAnsi="Times New Roman"/>
                <w:iCs/>
              </w:rPr>
              <w:t xml:space="preserve"> actual) / (total budgeted COVID-19 response expenditures in the </w:t>
            </w:r>
            <w:r w:rsidR="008B1EA2" w:rsidRPr="00F66630">
              <w:rPr>
                <w:rFonts w:ascii="Times New Roman" w:hAnsi="Times New Roman"/>
                <w:iCs/>
              </w:rPr>
              <w:t>approved original 2021</w:t>
            </w:r>
            <w:r w:rsidRPr="00F66630">
              <w:rPr>
                <w:rFonts w:ascii="Times New Roman" w:hAnsi="Times New Roman"/>
                <w:iCs/>
              </w:rPr>
              <w:t xml:space="preserve"> </w:t>
            </w:r>
            <w:r w:rsidRPr="00F66630">
              <w:rPr>
                <w:rFonts w:ascii="Times New Roman" w:hAnsi="Times New Roman"/>
                <w:iCs/>
              </w:rPr>
              <w:lastRenderedPageBreak/>
              <w:t xml:space="preserve">Budget </w:t>
            </w:r>
            <w:r w:rsidRPr="00F66630">
              <w:rPr>
                <w:rFonts w:ascii="Times New Roman" w:hAnsi="Times New Roman"/>
                <w:i/>
              </w:rPr>
              <w:t>net of exclusions</w:t>
            </w:r>
            <w:r w:rsidRPr="00F66630">
              <w:rPr>
                <w:rFonts w:ascii="Times New Roman" w:hAnsi="Times New Roman"/>
                <w:iCs/>
              </w:rPr>
              <w:t>)</w:t>
            </w:r>
          </w:p>
          <w:p w14:paraId="46A39B01" w14:textId="7D1C1064" w:rsidR="00377FC1" w:rsidRPr="00F66630" w:rsidRDefault="00377FC1" w:rsidP="00D86D08">
            <w:pPr>
              <w:pStyle w:val="ListParagraph"/>
              <w:widowControl w:val="0"/>
              <w:numPr>
                <w:ilvl w:val="0"/>
                <w:numId w:val="81"/>
              </w:numPr>
              <w:autoSpaceDE w:val="0"/>
              <w:autoSpaceDN w:val="0"/>
              <w:adjustRightInd w:val="0"/>
              <w:ind w:right="90"/>
              <w:rPr>
                <w:rFonts w:ascii="Times New Roman" w:eastAsia="Times New Roman" w:hAnsi="Times New Roman" w:cs="Times New Roman"/>
                <w:noProof/>
                <w:color w:val="000000"/>
              </w:rPr>
            </w:pPr>
            <w:r w:rsidRPr="00F66630">
              <w:rPr>
                <w:rFonts w:ascii="Times New Roman" w:hAnsi="Times New Roman"/>
                <w:iCs/>
              </w:rPr>
              <w:t xml:space="preserve">States that did not achieve DLR 13.1 </w:t>
            </w:r>
            <w:r w:rsidR="00284136" w:rsidRPr="00F66630">
              <w:rPr>
                <w:rFonts w:ascii="Times New Roman" w:hAnsi="Times New Roman"/>
                <w:iCs/>
              </w:rPr>
              <w:t xml:space="preserve">or 13.2 </w:t>
            </w:r>
            <w:r w:rsidRPr="00F66630">
              <w:rPr>
                <w:rFonts w:ascii="Times New Roman" w:eastAsia="Times New Roman" w:hAnsi="Times New Roman" w:cs="Times New Roman"/>
                <w:noProof/>
                <w:color w:val="000000"/>
              </w:rPr>
              <w:t>can achieve the DLR 13.</w:t>
            </w:r>
            <w:r w:rsidR="00284136" w:rsidRPr="00F66630">
              <w:rPr>
                <w:rFonts w:ascii="Times New Roman" w:eastAsia="Times New Roman" w:hAnsi="Times New Roman" w:cs="Times New Roman"/>
                <w:noProof/>
                <w:color w:val="000000"/>
              </w:rPr>
              <w:t>3</w:t>
            </w:r>
            <w:r w:rsidRPr="00F66630">
              <w:rPr>
                <w:rFonts w:ascii="Times New Roman" w:eastAsia="Times New Roman" w:hAnsi="Times New Roman" w:cs="Times New Roman"/>
                <w:noProof/>
                <w:color w:val="000000"/>
              </w:rPr>
              <w:t>, provided it meets the DLR 13.</w:t>
            </w:r>
            <w:r w:rsidR="00284136" w:rsidRPr="00F66630">
              <w:rPr>
                <w:rFonts w:ascii="Times New Roman" w:eastAsia="Times New Roman" w:hAnsi="Times New Roman" w:cs="Times New Roman"/>
                <w:noProof/>
                <w:color w:val="000000"/>
              </w:rPr>
              <w:t>3</w:t>
            </w:r>
            <w:r w:rsidRPr="00F66630">
              <w:rPr>
                <w:rFonts w:ascii="Times New Roman" w:eastAsia="Times New Roman" w:hAnsi="Times New Roman" w:cs="Times New Roman"/>
                <w:noProof/>
                <w:color w:val="000000"/>
              </w:rPr>
              <w:t xml:space="preserve"> requirements established in this verificat</w:t>
            </w:r>
            <w:r w:rsidR="009605CD" w:rsidRPr="00F66630">
              <w:rPr>
                <w:rFonts w:ascii="Times New Roman" w:eastAsia="Times New Roman" w:hAnsi="Times New Roman" w:cs="Times New Roman"/>
                <w:noProof/>
                <w:color w:val="000000"/>
              </w:rPr>
              <w:t>i</w:t>
            </w:r>
            <w:r w:rsidRPr="00F66630">
              <w:rPr>
                <w:rFonts w:ascii="Times New Roman" w:eastAsia="Times New Roman" w:hAnsi="Times New Roman" w:cs="Times New Roman"/>
                <w:noProof/>
                <w:color w:val="000000"/>
              </w:rPr>
              <w:t xml:space="preserve">on protocol. </w:t>
            </w:r>
          </w:p>
          <w:p w14:paraId="0AFE39B4" w14:textId="77777777" w:rsidR="001F5E52" w:rsidRPr="00F66630" w:rsidRDefault="001F5E52" w:rsidP="001F5E52">
            <w:pPr>
              <w:pStyle w:val="ListParagraph"/>
              <w:widowControl w:val="0"/>
              <w:autoSpaceDE w:val="0"/>
              <w:autoSpaceDN w:val="0"/>
              <w:adjustRightInd w:val="0"/>
              <w:ind w:left="360" w:right="90"/>
              <w:rPr>
                <w:rFonts w:ascii="Times New Roman" w:eastAsia="Times New Roman" w:hAnsi="Times New Roman" w:cs="Times New Roman"/>
                <w:noProof/>
                <w:color w:val="000000"/>
              </w:rPr>
            </w:pPr>
          </w:p>
          <w:p w14:paraId="0D7E574C" w14:textId="213BB793" w:rsidR="00377FC1" w:rsidRPr="00F66630" w:rsidRDefault="00377FC1" w:rsidP="00D86D08">
            <w:pPr>
              <w:pStyle w:val="ListParagraph"/>
              <w:widowControl w:val="0"/>
              <w:numPr>
                <w:ilvl w:val="0"/>
                <w:numId w:val="81"/>
              </w:numPr>
              <w:autoSpaceDE w:val="0"/>
              <w:autoSpaceDN w:val="0"/>
              <w:adjustRightInd w:val="0"/>
              <w:ind w:right="90"/>
              <w:rPr>
                <w:rFonts w:ascii="Times New Roman" w:eastAsia="Times New Roman" w:hAnsi="Times New Roman" w:cs="Times New Roman"/>
                <w:noProof/>
                <w:color w:val="000000"/>
              </w:rPr>
            </w:pPr>
            <w:r w:rsidRPr="00F66630">
              <w:rPr>
                <w:rFonts w:ascii="Times New Roman" w:hAnsi="Times New Roman"/>
                <w:iCs/>
              </w:rPr>
              <w:t>States</w:t>
            </w:r>
            <w:r w:rsidRPr="00F66630">
              <w:rPr>
                <w:rFonts w:ascii="Times New Roman" w:eastAsia="Times New Roman" w:hAnsi="Times New Roman" w:cs="Times New Roman"/>
                <w:noProof/>
                <w:color w:val="000000"/>
              </w:rPr>
              <w:t xml:space="preserve"> </w:t>
            </w:r>
            <w:r w:rsidR="00BA12DB" w:rsidRPr="00F66630">
              <w:rPr>
                <w:rFonts w:ascii="Times New Roman" w:eastAsia="Times New Roman" w:hAnsi="Times New Roman" w:cs="Times New Roman"/>
                <w:noProof/>
                <w:color w:val="000000"/>
              </w:rPr>
              <w:t>are required to</w:t>
            </w:r>
            <w:r w:rsidRPr="00F66630">
              <w:rPr>
                <w:rFonts w:ascii="Times New Roman" w:eastAsia="Times New Roman" w:hAnsi="Times New Roman" w:cs="Times New Roman"/>
                <w:noProof/>
                <w:color w:val="000000"/>
              </w:rPr>
              <w:t xml:space="preserve"> provide adequate source data/documentation for measuring budget execution:</w:t>
            </w:r>
          </w:p>
          <w:p w14:paraId="72BB0C2E" w14:textId="288E581D" w:rsidR="00BA12DB" w:rsidRPr="00F66630" w:rsidRDefault="00377FC1" w:rsidP="00D86D08">
            <w:pPr>
              <w:pStyle w:val="ListParagraph"/>
              <w:widowControl w:val="0"/>
              <w:numPr>
                <w:ilvl w:val="0"/>
                <w:numId w:val="85"/>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 xml:space="preserve">Approved </w:t>
            </w:r>
            <w:r w:rsidR="00BA12DB" w:rsidRPr="00F66630">
              <w:rPr>
                <w:rFonts w:ascii="Times New Roman" w:eastAsia="Times New Roman" w:hAnsi="Times New Roman" w:cs="Times New Roman"/>
                <w:noProof/>
                <w:color w:val="000000"/>
              </w:rPr>
              <w:t xml:space="preserve">original </w:t>
            </w:r>
            <w:r w:rsidRPr="00F66630">
              <w:rPr>
                <w:rFonts w:ascii="Times New Roman" w:eastAsia="Times New Roman" w:hAnsi="Times New Roman" w:cs="Times New Roman"/>
                <w:noProof/>
                <w:color w:val="000000"/>
              </w:rPr>
              <w:t>State 202</w:t>
            </w:r>
            <w:r w:rsidR="00BA12DB" w:rsidRPr="00F66630">
              <w:rPr>
                <w:rFonts w:ascii="Times New Roman" w:eastAsia="Times New Roman" w:hAnsi="Times New Roman" w:cs="Times New Roman"/>
                <w:noProof/>
                <w:color w:val="000000"/>
              </w:rPr>
              <w:t>1</w:t>
            </w:r>
            <w:r w:rsidRPr="00F66630">
              <w:rPr>
                <w:rFonts w:ascii="Times New Roman" w:eastAsia="Times New Roman" w:hAnsi="Times New Roman" w:cs="Times New Roman"/>
                <w:noProof/>
                <w:color w:val="000000"/>
              </w:rPr>
              <w:t xml:space="preserve"> Budget including the detailed expenditure allocation table</w:t>
            </w:r>
            <w:r w:rsidR="0009651D" w:rsidRPr="00F66630">
              <w:rPr>
                <w:rFonts w:ascii="Times New Roman" w:eastAsia="Times New Roman" w:hAnsi="Times New Roman" w:cs="Times New Roman"/>
                <w:noProof/>
                <w:color w:val="000000"/>
              </w:rPr>
              <w:t>.</w:t>
            </w:r>
          </w:p>
          <w:p w14:paraId="1F739A46" w14:textId="255E2A6D" w:rsidR="00377FC1" w:rsidRPr="00F66630" w:rsidRDefault="00377FC1" w:rsidP="00D86D08">
            <w:pPr>
              <w:pStyle w:val="ListParagraph"/>
              <w:widowControl w:val="0"/>
              <w:numPr>
                <w:ilvl w:val="0"/>
                <w:numId w:val="85"/>
              </w:numPr>
              <w:autoSpaceDE w:val="0"/>
              <w:autoSpaceDN w:val="0"/>
              <w:adjustRightInd w:val="0"/>
              <w:spacing w:line="256" w:lineRule="auto"/>
              <w:rPr>
                <w:rFonts w:ascii="Times New Roman" w:eastAsia="Times New Roman" w:hAnsi="Times New Roman" w:cs="Times New Roman"/>
                <w:noProof/>
                <w:color w:val="000000"/>
              </w:rPr>
            </w:pPr>
            <w:r w:rsidRPr="00F66630">
              <w:rPr>
                <w:rFonts w:ascii="Times New Roman" w:eastAsia="Times New Roman" w:hAnsi="Times New Roman" w:cs="Times New Roman"/>
                <w:noProof/>
                <w:color w:val="000000"/>
              </w:rPr>
              <w:t xml:space="preserve">Audited COVID-19 response expenditure figures </w:t>
            </w:r>
            <w:r w:rsidR="00E55A5C" w:rsidRPr="00F66630">
              <w:rPr>
                <w:rFonts w:ascii="Times New Roman" w:eastAsia="Times New Roman" w:hAnsi="Times New Roman" w:cs="Times New Roman"/>
                <w:noProof/>
                <w:color w:val="000000"/>
              </w:rPr>
              <w:t xml:space="preserve">including </w:t>
            </w:r>
            <w:r w:rsidRPr="00F66630">
              <w:rPr>
                <w:rFonts w:ascii="Times New Roman" w:eastAsia="Times New Roman" w:hAnsi="Times New Roman" w:cs="Times New Roman"/>
                <w:noProof/>
                <w:color w:val="000000"/>
              </w:rPr>
              <w:t>specific disclosure of COVID-19 response expenditures in the 202</w:t>
            </w:r>
            <w:r w:rsidR="00BA12DB" w:rsidRPr="00F66630">
              <w:rPr>
                <w:rFonts w:ascii="Times New Roman" w:eastAsia="Times New Roman" w:hAnsi="Times New Roman" w:cs="Times New Roman"/>
                <w:noProof/>
                <w:color w:val="000000"/>
              </w:rPr>
              <w:t>1</w:t>
            </w:r>
            <w:r w:rsidRPr="00F66630">
              <w:rPr>
                <w:rFonts w:ascii="Times New Roman" w:eastAsia="Times New Roman" w:hAnsi="Times New Roman" w:cs="Times New Roman"/>
                <w:noProof/>
                <w:color w:val="000000"/>
              </w:rPr>
              <w:t xml:space="preserve"> AFS</w:t>
            </w:r>
            <w:r w:rsidR="0009651D" w:rsidRPr="00F66630">
              <w:rPr>
                <w:rFonts w:ascii="Times New Roman" w:eastAsia="Times New Roman" w:hAnsi="Times New Roman" w:cs="Times New Roman"/>
                <w:noProof/>
                <w:color w:val="000000"/>
              </w:rPr>
              <w:t>.</w:t>
            </w:r>
          </w:p>
          <w:p w14:paraId="54C0F2FD" w14:textId="0C2FC3B4" w:rsidR="00E27800" w:rsidRPr="00F66630" w:rsidRDefault="00E27800" w:rsidP="00E27800">
            <w:pPr>
              <w:pStyle w:val="ListParagraph"/>
              <w:widowControl w:val="0"/>
              <w:autoSpaceDE w:val="0"/>
              <w:autoSpaceDN w:val="0"/>
              <w:adjustRightInd w:val="0"/>
              <w:spacing w:line="256" w:lineRule="auto"/>
              <w:rPr>
                <w:rFonts w:ascii="Times New Roman" w:eastAsia="Times New Roman" w:hAnsi="Times New Roman" w:cs="Times New Roman"/>
                <w:noProof/>
                <w:color w:val="000000"/>
              </w:rPr>
            </w:pPr>
          </w:p>
        </w:tc>
      </w:tr>
      <w:tr w:rsidR="00484C33" w:rsidRPr="00F66630" w14:paraId="63A5F769" w14:textId="77777777" w:rsidTr="004627E0">
        <w:tc>
          <w:tcPr>
            <w:tcW w:w="5000" w:type="pct"/>
            <w:gridSpan w:val="2"/>
            <w:shd w:val="clear" w:color="auto" w:fill="FDE9D9" w:themeFill="accent6" w:themeFillTint="33"/>
          </w:tcPr>
          <w:p w14:paraId="13E21756" w14:textId="77777777" w:rsidR="00484C33" w:rsidRPr="00F66630" w:rsidRDefault="00484C33" w:rsidP="004627E0">
            <w:pPr>
              <w:rPr>
                <w:rFonts w:ascii="Times New Roman" w:hAnsi="Times New Roman" w:cs="Times New Roman"/>
                <w:b/>
                <w:i/>
              </w:rPr>
            </w:pPr>
            <w:r w:rsidRPr="00F66630">
              <w:rPr>
                <w:rFonts w:ascii="Times New Roman" w:hAnsi="Times New Roman" w:cs="Times New Roman"/>
                <w:b/>
                <w:i/>
              </w:rPr>
              <w:lastRenderedPageBreak/>
              <w:t>Data Source and Procedures to assess achievement</w:t>
            </w:r>
          </w:p>
        </w:tc>
      </w:tr>
      <w:tr w:rsidR="00484C33" w:rsidRPr="00F66630" w14:paraId="6B322320" w14:textId="77777777" w:rsidTr="004627E0">
        <w:tc>
          <w:tcPr>
            <w:tcW w:w="5000" w:type="pct"/>
            <w:gridSpan w:val="2"/>
          </w:tcPr>
          <w:p w14:paraId="711167AF" w14:textId="77777777" w:rsidR="00484C33" w:rsidRPr="00F66630" w:rsidRDefault="00484C33" w:rsidP="004627E0">
            <w:pPr>
              <w:rPr>
                <w:rFonts w:ascii="Times New Roman" w:eastAsia="Times New Roman" w:hAnsi="Times New Roman" w:cs="Times New Roman"/>
                <w:b/>
                <w:bCs/>
                <w:i/>
                <w:iCs/>
                <w:u w:val="single"/>
              </w:rPr>
            </w:pPr>
            <w:r w:rsidRPr="00F66630">
              <w:rPr>
                <w:rFonts w:ascii="Times New Roman" w:eastAsia="Times New Roman" w:hAnsi="Times New Roman" w:cs="Times New Roman"/>
                <w:b/>
                <w:bCs/>
                <w:i/>
                <w:iCs/>
                <w:u w:val="single"/>
              </w:rPr>
              <w:t>State data sources</w:t>
            </w:r>
          </w:p>
          <w:p w14:paraId="43C39E08" w14:textId="77777777" w:rsidR="00484C33" w:rsidRPr="00F66630" w:rsidRDefault="00484C33"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Ministry of Finance, </w:t>
            </w:r>
            <w:proofErr w:type="gramStart"/>
            <w:r w:rsidRPr="00F66630">
              <w:rPr>
                <w:rFonts w:ascii="Times New Roman" w:eastAsia="Times New Roman" w:hAnsi="Times New Roman" w:cs="Times New Roman"/>
                <w:b/>
                <w:bCs/>
                <w:iCs/>
                <w:sz w:val="22"/>
                <w:szCs w:val="22"/>
              </w:rPr>
              <w:t>Budget</w:t>
            </w:r>
            <w:proofErr w:type="gramEnd"/>
            <w:r w:rsidRPr="00F66630">
              <w:rPr>
                <w:rFonts w:ascii="Times New Roman" w:eastAsia="Times New Roman" w:hAnsi="Times New Roman" w:cs="Times New Roman"/>
                <w:b/>
                <w:bCs/>
                <w:iCs/>
                <w:sz w:val="22"/>
                <w:szCs w:val="22"/>
              </w:rPr>
              <w:t xml:space="preserve"> and Planning </w:t>
            </w:r>
          </w:p>
          <w:p w14:paraId="429283AE" w14:textId="77777777" w:rsidR="00484C33" w:rsidRPr="00F66630" w:rsidRDefault="00484C33" w:rsidP="00E36965">
            <w:pPr>
              <w:pStyle w:val="CommentText"/>
              <w:numPr>
                <w:ilvl w:val="0"/>
                <w:numId w:val="28"/>
              </w:numPr>
              <w:rPr>
                <w:rFonts w:ascii="Times New Roman" w:hAnsi="Times New Roman" w:cs="Times New Roman"/>
                <w:sz w:val="22"/>
                <w:szCs w:val="22"/>
              </w:rPr>
            </w:pPr>
            <w:r w:rsidRPr="00F66630">
              <w:rPr>
                <w:rFonts w:ascii="Times New Roman" w:eastAsia="Times New Roman" w:hAnsi="Times New Roman" w:cs="Times New Roman"/>
                <w:b/>
                <w:bCs/>
                <w:iCs/>
                <w:sz w:val="22"/>
                <w:szCs w:val="22"/>
              </w:rPr>
              <w:t xml:space="preserve">State official website(s) </w:t>
            </w:r>
            <w:r w:rsidRPr="00F66630">
              <w:rPr>
                <w:rFonts w:ascii="Times New Roman" w:eastAsia="Times New Roman" w:hAnsi="Times New Roman" w:cs="Times New Roman"/>
                <w:iCs/>
                <w:sz w:val="22"/>
                <w:szCs w:val="22"/>
              </w:rPr>
              <w:t xml:space="preserve">include </w:t>
            </w:r>
            <w:r w:rsidRPr="00F66630">
              <w:rPr>
                <w:rFonts w:ascii="Times New Roman" w:hAnsi="Times New Roman" w:cs="Times New Roman"/>
                <w:sz w:val="22"/>
                <w:szCs w:val="22"/>
              </w:rPr>
              <w:t>the website of the State Government, Ministries such as Finance, Budget and Economic Planning, Agencies, the State House of Assembly, the Office of the Auditor-General for States.</w:t>
            </w:r>
          </w:p>
          <w:p w14:paraId="09D27DD6" w14:textId="77777777" w:rsidR="00484C33" w:rsidRPr="00F66630" w:rsidRDefault="00484C33" w:rsidP="004627E0">
            <w:pPr>
              <w:pStyle w:val="CommentText"/>
              <w:rPr>
                <w:rFonts w:ascii="Times New Roman" w:hAnsi="Times New Roman" w:cs="Times New Roman"/>
                <w:sz w:val="22"/>
                <w:szCs w:val="22"/>
              </w:rPr>
            </w:pPr>
          </w:p>
        </w:tc>
      </w:tr>
      <w:tr w:rsidR="00484C33" w:rsidRPr="00C83E41" w14:paraId="562DC857" w14:textId="77777777" w:rsidTr="004627E0">
        <w:tc>
          <w:tcPr>
            <w:tcW w:w="5000" w:type="pct"/>
            <w:gridSpan w:val="2"/>
          </w:tcPr>
          <w:p w14:paraId="7EE960BF" w14:textId="77777777" w:rsidR="00766138" w:rsidRPr="00F66630" w:rsidRDefault="00766138" w:rsidP="00766138">
            <w:pPr>
              <w:pStyle w:val="CommentText"/>
              <w:rPr>
                <w:rFonts w:ascii="Times New Roman" w:hAnsi="Times New Roman" w:cs="Times New Roman"/>
                <w:b/>
                <w:i/>
                <w:sz w:val="22"/>
                <w:szCs w:val="22"/>
                <w:u w:val="single"/>
              </w:rPr>
            </w:pPr>
            <w:r w:rsidRPr="00F66630">
              <w:rPr>
                <w:rFonts w:ascii="Times New Roman" w:hAnsi="Times New Roman" w:cs="Times New Roman"/>
                <w:b/>
                <w:i/>
                <w:sz w:val="22"/>
                <w:szCs w:val="22"/>
                <w:u w:val="single"/>
              </w:rPr>
              <w:t>Procedure to be used by the IVA</w:t>
            </w:r>
          </w:p>
          <w:p w14:paraId="54C1A97C" w14:textId="77777777" w:rsidR="00E27800" w:rsidRPr="00F66630" w:rsidRDefault="00E27800" w:rsidP="00766138">
            <w:pPr>
              <w:pStyle w:val="ListParagraph"/>
              <w:spacing w:after="120"/>
              <w:ind w:left="0"/>
              <w:rPr>
                <w:rFonts w:ascii="Times New Roman" w:hAnsi="Times New Roman" w:cs="Times New Roman"/>
              </w:rPr>
            </w:pPr>
          </w:p>
          <w:p w14:paraId="3FE12B9E" w14:textId="30F226A7" w:rsidR="00491C81" w:rsidRPr="00F66630" w:rsidRDefault="00491C81" w:rsidP="00766138">
            <w:pPr>
              <w:pStyle w:val="ListParagraph"/>
              <w:spacing w:after="120"/>
              <w:ind w:left="0"/>
              <w:rPr>
                <w:rFonts w:ascii="Times New Roman" w:hAnsi="Times New Roman" w:cs="Times New Roman"/>
              </w:rPr>
            </w:pPr>
            <w:r w:rsidRPr="00F66630">
              <w:rPr>
                <w:rFonts w:ascii="Times New Roman" w:hAnsi="Times New Roman" w:cs="Times New Roman"/>
              </w:rPr>
              <w:t>The IVA will carry out the following for each State:</w:t>
            </w:r>
          </w:p>
          <w:p w14:paraId="3C532809" w14:textId="31540F74"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 xml:space="preserve">Download the </w:t>
            </w:r>
            <w:r w:rsidR="00425DB4" w:rsidRPr="00F66630">
              <w:rPr>
                <w:rFonts w:ascii="Times New Roman" w:hAnsi="Times New Roman" w:cs="Times New Roman"/>
              </w:rPr>
              <w:t xml:space="preserve">approved original </w:t>
            </w:r>
            <w:r w:rsidRPr="00F66630">
              <w:rPr>
                <w:rFonts w:ascii="Times New Roman" w:hAnsi="Times New Roman" w:cs="Times New Roman"/>
              </w:rPr>
              <w:t>FY202</w:t>
            </w:r>
            <w:r w:rsidR="00425DB4" w:rsidRPr="00F66630">
              <w:rPr>
                <w:rFonts w:ascii="Times New Roman" w:hAnsi="Times New Roman" w:cs="Times New Roman"/>
              </w:rPr>
              <w:t>1</w:t>
            </w:r>
            <w:r w:rsidRPr="00F66630">
              <w:rPr>
                <w:rFonts w:ascii="Times New Roman" w:hAnsi="Times New Roman" w:cs="Times New Roman"/>
              </w:rPr>
              <w:t xml:space="preserve"> State Budget from the State official website.</w:t>
            </w:r>
          </w:p>
          <w:p w14:paraId="5D33C0BA" w14:textId="77777777"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 xml:space="preserve">Confirm the budget has been passed into law (approved by State House of Assembly and assented by the Governor). </w:t>
            </w:r>
          </w:p>
          <w:p w14:paraId="25758925" w14:textId="77777777"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Confirm t</w:t>
            </w:r>
            <w:r w:rsidRPr="00F66630">
              <w:rPr>
                <w:rFonts w:ascii="Times New Roman" w:hAnsi="Times New Roman" w:cs="Times New Roman"/>
                <w:iCs/>
              </w:rPr>
              <w:t xml:space="preserve">he detailed budget expenditure allocation table tags (in a separate column) each budget line item as either COVID-responsive, or not. </w:t>
            </w:r>
          </w:p>
          <w:p w14:paraId="291B27A9" w14:textId="575122DF" w:rsidR="00491C81" w:rsidRPr="00F66630" w:rsidRDefault="00491C81" w:rsidP="00D86D08">
            <w:pPr>
              <w:pStyle w:val="ListParagraph"/>
              <w:numPr>
                <w:ilvl w:val="0"/>
                <w:numId w:val="80"/>
              </w:numPr>
              <w:spacing w:after="120"/>
              <w:rPr>
                <w:rFonts w:ascii="Times New Roman" w:eastAsia="Times New Roman" w:hAnsi="Times New Roman" w:cs="Times New Roman"/>
                <w:noProof/>
                <w:color w:val="000000"/>
              </w:rPr>
            </w:pPr>
            <w:r w:rsidRPr="00F66630">
              <w:rPr>
                <w:rFonts w:ascii="Times New Roman" w:hAnsi="Times New Roman" w:cs="Times New Roman"/>
                <w:iCs/>
              </w:rPr>
              <w:t xml:space="preserve">Confirm that the total COVID-19 response expenditures represent at least </w:t>
            </w:r>
            <w:r w:rsidR="00D51E15" w:rsidRPr="00F66630">
              <w:rPr>
                <w:rFonts w:ascii="Times New Roman" w:hAnsi="Times New Roman" w:cs="Times New Roman"/>
                <w:iCs/>
              </w:rPr>
              <w:t xml:space="preserve">5 </w:t>
            </w:r>
            <w:r w:rsidRPr="00F66630">
              <w:rPr>
                <w:rFonts w:ascii="Times New Roman" w:hAnsi="Times New Roman" w:cs="Times New Roman"/>
                <w:iCs/>
              </w:rPr>
              <w:t>percent</w:t>
            </w:r>
            <w:r w:rsidRPr="00F66630">
              <w:rPr>
                <w:rFonts w:ascii="Times New Roman" w:hAnsi="Times New Roman" w:cs="Times New Roman"/>
                <w:iCs/>
                <w:vertAlign w:val="superscript"/>
              </w:rPr>
              <w:t xml:space="preserve"> </w:t>
            </w:r>
            <w:r w:rsidRPr="00F66630">
              <w:rPr>
                <w:rFonts w:ascii="Times New Roman" w:hAnsi="Times New Roman" w:cs="Times New Roman"/>
                <w:iCs/>
              </w:rPr>
              <w:t xml:space="preserve">of the total </w:t>
            </w:r>
            <w:r w:rsidR="00D51E15" w:rsidRPr="00F66630">
              <w:rPr>
                <w:rFonts w:ascii="Times New Roman" w:hAnsi="Times New Roman" w:cs="Times New Roman"/>
                <w:iCs/>
              </w:rPr>
              <w:t>FY2021</w:t>
            </w:r>
            <w:r w:rsidRPr="00F66630">
              <w:rPr>
                <w:rFonts w:ascii="Times New Roman" w:hAnsi="Times New Roman" w:cs="Times New Roman"/>
                <w:iCs/>
              </w:rPr>
              <w:t xml:space="preserve"> budget expenditures</w:t>
            </w:r>
            <w:r w:rsidRPr="00F66630">
              <w:rPr>
                <w:rFonts w:ascii="Times New Roman" w:eastAsia="Times New Roman" w:hAnsi="Times New Roman" w:cs="Times New Roman"/>
                <w:noProof/>
                <w:color w:val="000000"/>
              </w:rPr>
              <w:t>.</w:t>
            </w:r>
          </w:p>
          <w:p w14:paraId="11CD425C" w14:textId="42F22D1A"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 xml:space="preserve">Download the </w:t>
            </w:r>
            <w:r w:rsidR="00F27EE7" w:rsidRPr="00F66630">
              <w:rPr>
                <w:rFonts w:ascii="Times New Roman" w:hAnsi="Times New Roman" w:cs="Times New Roman"/>
              </w:rPr>
              <w:t>FY</w:t>
            </w:r>
            <w:r w:rsidRPr="00F66630">
              <w:rPr>
                <w:rFonts w:ascii="Times New Roman" w:hAnsi="Times New Roman" w:cs="Times New Roman"/>
              </w:rPr>
              <w:t>202</w:t>
            </w:r>
            <w:r w:rsidR="00883F2E" w:rsidRPr="00F66630">
              <w:rPr>
                <w:rFonts w:ascii="Times New Roman" w:hAnsi="Times New Roman" w:cs="Times New Roman"/>
              </w:rPr>
              <w:t>1</w:t>
            </w:r>
            <w:r w:rsidRPr="00F66630">
              <w:rPr>
                <w:rFonts w:ascii="Times New Roman" w:hAnsi="Times New Roman" w:cs="Times New Roman"/>
              </w:rPr>
              <w:t xml:space="preserve"> </w:t>
            </w:r>
            <w:r w:rsidR="00F27EE7" w:rsidRPr="00F66630">
              <w:rPr>
                <w:rFonts w:ascii="Times New Roman" w:hAnsi="Times New Roman" w:cs="Times New Roman"/>
              </w:rPr>
              <w:t>S</w:t>
            </w:r>
            <w:r w:rsidRPr="00F66630">
              <w:rPr>
                <w:rFonts w:ascii="Times New Roman" w:hAnsi="Times New Roman" w:cs="Times New Roman"/>
              </w:rPr>
              <w:t xml:space="preserve">tate AFS. </w:t>
            </w:r>
          </w:p>
          <w:p w14:paraId="0A776D3C" w14:textId="57EE9C55"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 xml:space="preserve">Confirm the </w:t>
            </w:r>
            <w:r w:rsidR="00F27EE7" w:rsidRPr="00F66630">
              <w:rPr>
                <w:rFonts w:ascii="Times New Roman" w:hAnsi="Times New Roman" w:cs="Times New Roman"/>
              </w:rPr>
              <w:t>FY</w:t>
            </w:r>
            <w:r w:rsidRPr="00F66630">
              <w:rPr>
                <w:rFonts w:ascii="Times New Roman" w:hAnsi="Times New Roman" w:cs="Times New Roman"/>
              </w:rPr>
              <w:t>202</w:t>
            </w:r>
            <w:r w:rsidR="00F27EE7" w:rsidRPr="00F66630">
              <w:rPr>
                <w:rFonts w:ascii="Times New Roman" w:hAnsi="Times New Roman" w:cs="Times New Roman"/>
              </w:rPr>
              <w:t>1</w:t>
            </w:r>
            <w:r w:rsidRPr="00F66630">
              <w:rPr>
                <w:rFonts w:ascii="Times New Roman" w:hAnsi="Times New Roman" w:cs="Times New Roman"/>
              </w:rPr>
              <w:t xml:space="preserve"> </w:t>
            </w:r>
            <w:r w:rsidR="00F27EE7" w:rsidRPr="00F66630">
              <w:rPr>
                <w:rFonts w:ascii="Times New Roman" w:hAnsi="Times New Roman" w:cs="Times New Roman"/>
              </w:rPr>
              <w:t>S</w:t>
            </w:r>
            <w:r w:rsidRPr="00F66630">
              <w:rPr>
                <w:rFonts w:ascii="Times New Roman" w:hAnsi="Times New Roman" w:cs="Times New Roman"/>
              </w:rPr>
              <w:t xml:space="preserve">tate AFS contains a specific disclosure note for </w:t>
            </w:r>
            <w:r w:rsidRPr="00F66630">
              <w:rPr>
                <w:rFonts w:ascii="Times New Roman" w:hAnsi="Times New Roman"/>
              </w:rPr>
              <w:t>COVID-19 response spending.</w:t>
            </w:r>
          </w:p>
          <w:p w14:paraId="22A657E9" w14:textId="77777777" w:rsidR="00491C81" w:rsidRPr="00F66630" w:rsidRDefault="00491C81" w:rsidP="00D86D08">
            <w:pPr>
              <w:pStyle w:val="ListParagraph"/>
              <w:numPr>
                <w:ilvl w:val="0"/>
                <w:numId w:val="80"/>
              </w:numPr>
              <w:spacing w:after="120"/>
              <w:rPr>
                <w:rFonts w:ascii="Times New Roman" w:hAnsi="Times New Roman" w:cs="Times New Roman"/>
              </w:rPr>
            </w:pPr>
            <w:bookmarkStart w:id="53" w:name="_Hlk57722277"/>
            <w:r w:rsidRPr="00F66630">
              <w:rPr>
                <w:rFonts w:ascii="Times New Roman" w:hAnsi="Times New Roman" w:cs="Times New Roman"/>
              </w:rPr>
              <w:t>Request the State to provide a list of exclusions with explanations. Assess whether the exclusions are valid and consistent with the protocol and applied consistently across all States</w:t>
            </w:r>
            <w:bookmarkEnd w:id="53"/>
            <w:r w:rsidRPr="00F66630">
              <w:rPr>
                <w:rFonts w:ascii="Times New Roman" w:hAnsi="Times New Roman" w:cs="Times New Roman"/>
              </w:rPr>
              <w:t xml:space="preserve">. </w:t>
            </w:r>
          </w:p>
          <w:p w14:paraId="591E6574" w14:textId="01FBDC1A" w:rsidR="00766138"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 xml:space="preserve">Apply the valid exclusions to budgeted COVID-19 response expenditures. </w:t>
            </w:r>
          </w:p>
          <w:p w14:paraId="26CB093A" w14:textId="6188EE3E" w:rsidR="00491C81" w:rsidRPr="00F66630" w:rsidRDefault="00491C81" w:rsidP="00D86D08">
            <w:pPr>
              <w:pStyle w:val="ListParagraph"/>
              <w:numPr>
                <w:ilvl w:val="0"/>
                <w:numId w:val="80"/>
              </w:numPr>
              <w:spacing w:after="120"/>
              <w:rPr>
                <w:rFonts w:ascii="Times New Roman" w:hAnsi="Times New Roman" w:cs="Times New Roman"/>
              </w:rPr>
            </w:pPr>
            <w:r w:rsidRPr="00F66630">
              <w:rPr>
                <w:rFonts w:ascii="Times New Roman" w:hAnsi="Times New Roman" w:cs="Times New Roman"/>
              </w:rPr>
              <w:t>Conduct the calculations and evaluate the State’s results against the threshold of 90 percent</w:t>
            </w:r>
            <w:r w:rsidR="00E4049E" w:rsidRPr="00F66630">
              <w:rPr>
                <w:rFonts w:ascii="Times New Roman" w:hAnsi="Times New Roman" w:cs="Times New Roman"/>
              </w:rPr>
              <w:t>.</w:t>
            </w:r>
          </w:p>
        </w:tc>
      </w:tr>
    </w:tbl>
    <w:p w14:paraId="02D572F3" w14:textId="77777777" w:rsidR="0095291E" w:rsidRDefault="0095291E" w:rsidP="00F1507E">
      <w:pPr>
        <w:rPr>
          <w:rFonts w:ascii="Times New Roman" w:eastAsia="Times New Roman" w:hAnsi="Times New Roman" w:cs="Times New Roman"/>
          <w:b/>
          <w:spacing w:val="4"/>
          <w:sz w:val="20"/>
          <w:szCs w:val="20"/>
        </w:rPr>
      </w:pPr>
    </w:p>
    <w:sectPr w:rsidR="0095291E" w:rsidSect="00352E5A">
      <w:pgSz w:w="15840" w:h="12240" w:orient="landscape"/>
      <w:pgMar w:top="1440" w:right="1440" w:bottom="144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35D4" w14:textId="77777777" w:rsidR="0000653D" w:rsidRDefault="0000653D" w:rsidP="00A7596D">
      <w:pPr>
        <w:spacing w:after="0" w:line="240" w:lineRule="auto"/>
      </w:pPr>
      <w:r>
        <w:separator/>
      </w:r>
    </w:p>
  </w:endnote>
  <w:endnote w:type="continuationSeparator" w:id="0">
    <w:p w14:paraId="6DBA81F6" w14:textId="77777777" w:rsidR="0000653D" w:rsidRDefault="0000653D" w:rsidP="00A7596D">
      <w:pPr>
        <w:spacing w:after="0" w:line="240" w:lineRule="auto"/>
      </w:pPr>
      <w:r>
        <w:continuationSeparator/>
      </w:r>
    </w:p>
  </w:endnote>
  <w:endnote w:type="continuationNotice" w:id="1">
    <w:p w14:paraId="7787151B" w14:textId="77777777" w:rsidR="0000653D" w:rsidRDefault="00006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94465"/>
      <w:docPartObj>
        <w:docPartGallery w:val="Page Numbers (Bottom of Page)"/>
        <w:docPartUnique/>
      </w:docPartObj>
    </w:sdtPr>
    <w:sdtEndPr>
      <w:rPr>
        <w:noProof/>
      </w:rPr>
    </w:sdtEndPr>
    <w:sdtContent>
      <w:p w14:paraId="6C1A6FED" w14:textId="46D0C161" w:rsidR="00D64601" w:rsidRDefault="00D64601">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01EEC619" w14:textId="77777777" w:rsidR="00D64601" w:rsidRDefault="00D64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841522"/>
      <w:docPartObj>
        <w:docPartGallery w:val="Page Numbers (Bottom of Page)"/>
        <w:docPartUnique/>
      </w:docPartObj>
    </w:sdtPr>
    <w:sdtEndPr>
      <w:rPr>
        <w:noProof/>
      </w:rPr>
    </w:sdtEndPr>
    <w:sdtContent>
      <w:p w14:paraId="68AE5136" w14:textId="0EE2D637" w:rsidR="00D64601" w:rsidRDefault="00D6460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07D3930" w14:textId="77777777" w:rsidR="00D64601" w:rsidRDefault="00D64601" w:rsidP="00071178">
    <w:pPr>
      <w:pStyle w:val="Footer"/>
      <w:tabs>
        <w:tab w:val="clear" w:pos="4680"/>
        <w:tab w:val="clear" w:pos="9360"/>
        <w:tab w:val="left" w:pos="5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3556" w14:textId="77777777" w:rsidR="0000653D" w:rsidRDefault="0000653D" w:rsidP="00A7596D">
      <w:pPr>
        <w:spacing w:after="0" w:line="240" w:lineRule="auto"/>
      </w:pPr>
      <w:r>
        <w:separator/>
      </w:r>
    </w:p>
  </w:footnote>
  <w:footnote w:type="continuationSeparator" w:id="0">
    <w:p w14:paraId="7A2417E2" w14:textId="77777777" w:rsidR="0000653D" w:rsidRDefault="0000653D" w:rsidP="00A7596D">
      <w:pPr>
        <w:spacing w:after="0" w:line="240" w:lineRule="auto"/>
      </w:pPr>
      <w:r>
        <w:continuationSeparator/>
      </w:r>
    </w:p>
  </w:footnote>
  <w:footnote w:type="continuationNotice" w:id="1">
    <w:p w14:paraId="2261AE29" w14:textId="77777777" w:rsidR="0000653D" w:rsidRDefault="0000653D">
      <w:pPr>
        <w:spacing w:after="0" w:line="240" w:lineRule="auto"/>
      </w:pPr>
    </w:p>
  </w:footnote>
  <w:footnote w:id="2">
    <w:p w14:paraId="11D91A5F" w14:textId="77777777" w:rsidR="00D64601" w:rsidRPr="00EA4589" w:rsidRDefault="00D64601" w:rsidP="0076089F">
      <w:pPr>
        <w:pStyle w:val="FootnoteText"/>
        <w:rPr>
          <w:sz w:val="18"/>
          <w:szCs w:val="18"/>
        </w:rPr>
      </w:pPr>
      <w:r w:rsidRPr="00EA4589">
        <w:rPr>
          <w:rStyle w:val="FootnoteReference"/>
          <w:sz w:val="18"/>
          <w:szCs w:val="18"/>
        </w:rPr>
        <w:footnoteRef/>
      </w:r>
      <w:r w:rsidRPr="00EA4589">
        <w:rPr>
          <w:sz w:val="18"/>
          <w:szCs w:val="18"/>
        </w:rPr>
        <w:t xml:space="preserve"> “</w:t>
      </w:r>
      <w:r w:rsidRPr="00EA4589">
        <w:rPr>
          <w:i/>
          <w:iCs/>
          <w:sz w:val="18"/>
          <w:szCs w:val="18"/>
        </w:rPr>
        <w:t xml:space="preserve">Final Report of the National Economic Council Ad-Hoc Committee on COVID-19 “Containing the Outbreak and Responding to the Adverse Economic Effects”, </w:t>
      </w:r>
      <w:r w:rsidRPr="00EA4589">
        <w:rPr>
          <w:sz w:val="18"/>
          <w:szCs w:val="18"/>
        </w:rPr>
        <w:t>April 2020</w:t>
      </w:r>
    </w:p>
  </w:footnote>
  <w:footnote w:id="3">
    <w:p w14:paraId="7296E2D5" w14:textId="0A2311F5" w:rsidR="00D64601" w:rsidRDefault="00D64601" w:rsidP="009879D9">
      <w:pPr>
        <w:pStyle w:val="FootnoteText"/>
        <w:jc w:val="both"/>
      </w:pPr>
      <w:r w:rsidRPr="00631E23">
        <w:rPr>
          <w:rStyle w:val="FootnoteReference"/>
        </w:rPr>
        <w:footnoteRef/>
      </w:r>
      <w:r w:rsidRPr="00631E23">
        <w:t xml:space="preserve"> </w:t>
      </w:r>
      <w:bookmarkStart w:id="47" w:name="_Hlk106288936"/>
      <w:r w:rsidRPr="00631E23">
        <w:rPr>
          <w:rFonts w:cs="Times New Roman"/>
        </w:rPr>
        <w:t>This will require at the minimum information on parcels, structures</w:t>
      </w:r>
      <w:r w:rsidR="009448BB" w:rsidRPr="00061DB2">
        <w:rPr>
          <w:rFonts w:cs="Times New Roman"/>
          <w:highlight w:val="yellow"/>
        </w:rPr>
        <w:t>/buildings</w:t>
      </w:r>
      <w:r w:rsidRPr="00631E23">
        <w:rPr>
          <w:rFonts w:cs="Times New Roman"/>
        </w:rPr>
        <w:t xml:space="preserve">, and </w:t>
      </w:r>
      <w:r w:rsidR="001858A8" w:rsidRPr="00061DB2">
        <w:rPr>
          <w:rFonts w:cs="Times New Roman"/>
          <w:highlight w:val="yellow"/>
        </w:rPr>
        <w:t>building</w:t>
      </w:r>
      <w:r w:rsidR="001858A8">
        <w:rPr>
          <w:rFonts w:cs="Times New Roman"/>
        </w:rPr>
        <w:t xml:space="preserve"> </w:t>
      </w:r>
      <w:r w:rsidR="001858A8" w:rsidRPr="00631E23">
        <w:rPr>
          <w:rFonts w:cs="Times New Roman"/>
        </w:rPr>
        <w:t>units</w:t>
      </w:r>
      <w:r w:rsidRPr="00631E23">
        <w:rPr>
          <w:rFonts w:cs="Times New Roman"/>
        </w:rPr>
        <w:t xml:space="preserve"> (</w:t>
      </w:r>
      <w:proofErr w:type="gramStart"/>
      <w:r w:rsidRPr="00631E23">
        <w:rPr>
          <w:rFonts w:cs="Times New Roman"/>
        </w:rPr>
        <w:t>e.g.</w:t>
      </w:r>
      <w:proofErr w:type="gramEnd"/>
      <w:r w:rsidRPr="00631E23">
        <w:rPr>
          <w:rFonts w:cs="Times New Roman"/>
        </w:rPr>
        <w:t xml:space="preserve"> condominiums) if applicable. For PARCELS, the information includes a unique parcel ID; parcel boundaries on a map to determine size; whether STRUCTURES are present and if yes, an ID and reference to footprint for each (see STRUCTURE below); the main use; availability of formal or informal documents; access to water, sewerage, electricity, waste disposal, and occupancy type. Owner information would include name, type, telephone and address and the same information would be provided for occupants different from the owner. For STRUCTURES, a unique ID would be linked to the structure footprint and information would include the main use; wall and roof material; no. of floors; occupancy type; and no. of property units (and if greater than 1, a unique ID as well as owner and occupier details for each of them.</w:t>
      </w:r>
      <w:r w:rsidRPr="008E2AC7">
        <w:rPr>
          <w:rFonts w:cs="Times New Roman"/>
        </w:rPr>
        <w:t xml:space="preserve">  </w:t>
      </w:r>
      <w:bookmarkEnd w:id="4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0A71" w14:textId="6B944625" w:rsidR="00D64601" w:rsidRDefault="00D64601">
    <w:pPr>
      <w:pStyle w:val="Header"/>
    </w:pPr>
    <w:r w:rsidRPr="006A6E6D">
      <w:rPr>
        <w:rFonts w:ascii="Times New Roman" w:hAnsi="Times New Roman" w:cs="Times New Roman"/>
        <w:bCs/>
        <w:sz w:val="24"/>
        <w:szCs w:val="24"/>
      </w:rPr>
      <w:t>State Transparency, Accountability and Sustainability (SFTAS) Program for Results (PforR)</w:t>
    </w:r>
    <w:r w:rsidRPr="00450921">
      <w:rPr>
        <w:rFonts w:ascii="Times New Roman" w:hAnsi="Times New Roman" w:cs="Times New Roman"/>
        <w:bCs/>
        <w:sz w:val="24"/>
        <w:szCs w:val="24"/>
      </w:rPr>
      <w:t xml:space="preserve"> </w:t>
    </w:r>
    <w:r>
      <w:rPr>
        <w:rFonts w:ascii="Times New Roman" w:hAnsi="Times New Roman" w:cs="Times New Roman"/>
        <w:bCs/>
        <w:sz w:val="24"/>
        <w:szCs w:val="24"/>
      </w:rPr>
      <w:tab/>
      <w:t xml:space="preserve"> | Verification Protocol Version </w:t>
    </w:r>
    <w:r w:rsidR="00061DB2">
      <w:rPr>
        <w:rFonts w:ascii="Times New Roman" w:hAnsi="Times New Roman" w:cs="Times New Roman"/>
        <w:bCs/>
        <w:sz w:val="24"/>
        <w:szCs w:val="24"/>
      </w:rPr>
      <w:t>9</w:t>
    </w:r>
    <w:r>
      <w:rPr>
        <w:rFonts w:ascii="Times New Roman" w:hAnsi="Times New Roman" w:cs="Times New Roman"/>
        <w:bCs/>
        <w:sz w:val="24"/>
        <w:szCs w:val="24"/>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02E9" w14:textId="5BC6E82A" w:rsidR="00D64601" w:rsidRPr="006A6E6D" w:rsidRDefault="00D64601">
    <w:pPr>
      <w:pStyle w:val="Header"/>
    </w:pPr>
    <w:r w:rsidRPr="006A6E6D">
      <w:rPr>
        <w:rFonts w:ascii="Times New Roman" w:hAnsi="Times New Roman" w:cs="Times New Roman"/>
        <w:bCs/>
        <w:sz w:val="24"/>
        <w:szCs w:val="24"/>
      </w:rPr>
      <w:t>State Transparency, Accountability and Sustainability (SFTAS) Program for Results (PforR)</w:t>
    </w:r>
    <w:r>
      <w:rPr>
        <w:rFonts w:ascii="Times New Roman" w:hAnsi="Times New Roman" w:cs="Times New Roman"/>
        <w:bCs/>
        <w:sz w:val="24"/>
        <w:szCs w:val="24"/>
      </w:rPr>
      <w:tab/>
      <w:t xml:space="preserve"> | Verification Protocol Version </w:t>
    </w:r>
    <w:r w:rsidR="00061DB2">
      <w:rPr>
        <w:rFonts w:ascii="Times New Roman" w:hAnsi="Times New Roman" w:cs="Times New Roman"/>
        <w:bCs/>
        <w:sz w:val="24"/>
        <w:szCs w:val="24"/>
      </w:rPr>
      <w:t>9</w:t>
    </w:r>
    <w:r>
      <w:rPr>
        <w:rFonts w:ascii="Times New Roman" w:hAnsi="Times New Roman" w:cs="Times New Roman"/>
        <w:bCs/>
        <w:sz w:val="24"/>
        <w:szCs w:val="24"/>
      </w:rPr>
      <w:t>.0</w:t>
    </w:r>
  </w:p>
  <w:p w14:paraId="61E253CA" w14:textId="6564B4E7" w:rsidR="00D64601" w:rsidRDefault="00D6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BB"/>
    <w:multiLevelType w:val="multilevel"/>
    <w:tmpl w:val="59DEF7BA"/>
    <w:lvl w:ilvl="0">
      <w:start w:val="1"/>
      <w:numFmt w:val="lowerLetter"/>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 w15:restartNumberingAfterBreak="0">
    <w:nsid w:val="00E87E75"/>
    <w:multiLevelType w:val="hybridMultilevel"/>
    <w:tmpl w:val="4FB2DEFC"/>
    <w:lvl w:ilvl="0" w:tplc="1E0AE3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D5F15"/>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6F"/>
    <w:multiLevelType w:val="hybridMultilevel"/>
    <w:tmpl w:val="C69E4A72"/>
    <w:lvl w:ilvl="0" w:tplc="82CA0812">
      <w:start w:val="1"/>
      <w:numFmt w:val="bullet"/>
      <w:lvlText w:val="•"/>
      <w:lvlJc w:val="left"/>
      <w:pPr>
        <w:tabs>
          <w:tab w:val="num" w:pos="720"/>
        </w:tabs>
        <w:ind w:left="720" w:hanging="360"/>
      </w:pPr>
      <w:rPr>
        <w:rFonts w:ascii="Arial" w:hAnsi="Arial" w:hint="default"/>
      </w:rPr>
    </w:lvl>
    <w:lvl w:ilvl="1" w:tplc="1E9808BE" w:tentative="1">
      <w:start w:val="1"/>
      <w:numFmt w:val="bullet"/>
      <w:lvlText w:val="•"/>
      <w:lvlJc w:val="left"/>
      <w:pPr>
        <w:tabs>
          <w:tab w:val="num" w:pos="1440"/>
        </w:tabs>
        <w:ind w:left="1440" w:hanging="360"/>
      </w:pPr>
      <w:rPr>
        <w:rFonts w:ascii="Arial" w:hAnsi="Arial" w:hint="default"/>
      </w:rPr>
    </w:lvl>
    <w:lvl w:ilvl="2" w:tplc="9A2C0542" w:tentative="1">
      <w:start w:val="1"/>
      <w:numFmt w:val="bullet"/>
      <w:lvlText w:val="•"/>
      <w:lvlJc w:val="left"/>
      <w:pPr>
        <w:tabs>
          <w:tab w:val="num" w:pos="2160"/>
        </w:tabs>
        <w:ind w:left="2160" w:hanging="360"/>
      </w:pPr>
      <w:rPr>
        <w:rFonts w:ascii="Arial" w:hAnsi="Arial" w:hint="default"/>
      </w:rPr>
    </w:lvl>
    <w:lvl w:ilvl="3" w:tplc="318C32E6" w:tentative="1">
      <w:start w:val="1"/>
      <w:numFmt w:val="bullet"/>
      <w:lvlText w:val="•"/>
      <w:lvlJc w:val="left"/>
      <w:pPr>
        <w:tabs>
          <w:tab w:val="num" w:pos="2880"/>
        </w:tabs>
        <w:ind w:left="2880" w:hanging="360"/>
      </w:pPr>
      <w:rPr>
        <w:rFonts w:ascii="Arial" w:hAnsi="Arial" w:hint="default"/>
      </w:rPr>
    </w:lvl>
    <w:lvl w:ilvl="4" w:tplc="0CEACC2C" w:tentative="1">
      <w:start w:val="1"/>
      <w:numFmt w:val="bullet"/>
      <w:lvlText w:val="•"/>
      <w:lvlJc w:val="left"/>
      <w:pPr>
        <w:tabs>
          <w:tab w:val="num" w:pos="3600"/>
        </w:tabs>
        <w:ind w:left="3600" w:hanging="360"/>
      </w:pPr>
      <w:rPr>
        <w:rFonts w:ascii="Arial" w:hAnsi="Arial" w:hint="default"/>
      </w:rPr>
    </w:lvl>
    <w:lvl w:ilvl="5" w:tplc="6CCEA49E" w:tentative="1">
      <w:start w:val="1"/>
      <w:numFmt w:val="bullet"/>
      <w:lvlText w:val="•"/>
      <w:lvlJc w:val="left"/>
      <w:pPr>
        <w:tabs>
          <w:tab w:val="num" w:pos="4320"/>
        </w:tabs>
        <w:ind w:left="4320" w:hanging="360"/>
      </w:pPr>
      <w:rPr>
        <w:rFonts w:ascii="Arial" w:hAnsi="Arial" w:hint="default"/>
      </w:rPr>
    </w:lvl>
    <w:lvl w:ilvl="6" w:tplc="D786CACC" w:tentative="1">
      <w:start w:val="1"/>
      <w:numFmt w:val="bullet"/>
      <w:lvlText w:val="•"/>
      <w:lvlJc w:val="left"/>
      <w:pPr>
        <w:tabs>
          <w:tab w:val="num" w:pos="5040"/>
        </w:tabs>
        <w:ind w:left="5040" w:hanging="360"/>
      </w:pPr>
      <w:rPr>
        <w:rFonts w:ascii="Arial" w:hAnsi="Arial" w:hint="default"/>
      </w:rPr>
    </w:lvl>
    <w:lvl w:ilvl="7" w:tplc="B0FE9354" w:tentative="1">
      <w:start w:val="1"/>
      <w:numFmt w:val="bullet"/>
      <w:lvlText w:val="•"/>
      <w:lvlJc w:val="left"/>
      <w:pPr>
        <w:tabs>
          <w:tab w:val="num" w:pos="5760"/>
        </w:tabs>
        <w:ind w:left="5760" w:hanging="360"/>
      </w:pPr>
      <w:rPr>
        <w:rFonts w:ascii="Arial" w:hAnsi="Arial" w:hint="default"/>
      </w:rPr>
    </w:lvl>
    <w:lvl w:ilvl="8" w:tplc="78B417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4F150D"/>
    <w:multiLevelType w:val="multilevel"/>
    <w:tmpl w:val="721E44A8"/>
    <w:lvl w:ilvl="0">
      <w:start w:val="1"/>
      <w:numFmt w:val="lowerRoman"/>
      <w:lvlText w:val="%1."/>
      <w:lvlJc w:val="righ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5" w15:restartNumberingAfterBreak="0">
    <w:nsid w:val="039C18E4"/>
    <w:multiLevelType w:val="multilevel"/>
    <w:tmpl w:val="2FB2491A"/>
    <w:lvl w:ilvl="0">
      <w:start w:val="1"/>
      <w:numFmt w:val="upperRoman"/>
      <w:lvlText w:val="%1."/>
      <w:lvlJc w:val="right"/>
      <w:pPr>
        <w:ind w:left="720" w:hanging="360"/>
      </w:pPr>
    </w:lvl>
    <w:lvl w:ilvl="1">
      <w:start w:val="1"/>
      <w:numFmt w:val="decimal"/>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3B849AB"/>
    <w:multiLevelType w:val="hybridMultilevel"/>
    <w:tmpl w:val="EC26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4A3D7D"/>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F7111"/>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45983"/>
    <w:multiLevelType w:val="hybridMultilevel"/>
    <w:tmpl w:val="6D56063C"/>
    <w:lvl w:ilvl="0" w:tplc="4F00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D21F9"/>
    <w:multiLevelType w:val="hybridMultilevel"/>
    <w:tmpl w:val="2292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3A30BD"/>
    <w:multiLevelType w:val="multilevel"/>
    <w:tmpl w:val="0DAA7982"/>
    <w:lvl w:ilvl="0">
      <w:start w:val="1"/>
      <w:numFmt w:val="decimal"/>
      <w:lvlText w:val="(%1)"/>
      <w:lvlJc w:val="lef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2" w15:restartNumberingAfterBreak="0">
    <w:nsid w:val="0CC10989"/>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CF0356"/>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90A0C"/>
    <w:multiLevelType w:val="hybridMultilevel"/>
    <w:tmpl w:val="D8C21CD2"/>
    <w:lvl w:ilvl="0" w:tplc="1B6EAA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772C7E"/>
    <w:multiLevelType w:val="multilevel"/>
    <w:tmpl w:val="2E7C8F32"/>
    <w:lvl w:ilvl="0">
      <w:start w:val="1"/>
      <w:numFmt w:val="lowerRoman"/>
      <w:lvlText w:val="%1."/>
      <w:lvlJc w:val="right"/>
      <w:pPr>
        <w:ind w:left="720" w:firstLine="0"/>
      </w:pPr>
      <w:rPr>
        <w:rFonts w:hint="default"/>
      </w:r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16" w15:restartNumberingAfterBreak="0">
    <w:nsid w:val="0EF910F5"/>
    <w:multiLevelType w:val="hybridMultilevel"/>
    <w:tmpl w:val="3C388492"/>
    <w:lvl w:ilvl="0" w:tplc="707CCD8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15:restartNumberingAfterBreak="0">
    <w:nsid w:val="100A01D0"/>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1B0CDA"/>
    <w:multiLevelType w:val="hybridMultilevel"/>
    <w:tmpl w:val="4D148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292C25"/>
    <w:multiLevelType w:val="hybridMultilevel"/>
    <w:tmpl w:val="A21456FA"/>
    <w:lvl w:ilvl="0" w:tplc="B70A7F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E71A6C"/>
    <w:multiLevelType w:val="hybridMultilevel"/>
    <w:tmpl w:val="8E0A8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EE3223"/>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0F23DE7"/>
    <w:multiLevelType w:val="hybridMultilevel"/>
    <w:tmpl w:val="FE627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CD1966"/>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2B97608"/>
    <w:multiLevelType w:val="hybridMultilevel"/>
    <w:tmpl w:val="3440C590"/>
    <w:lvl w:ilvl="0" w:tplc="4DB462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432AD5"/>
    <w:multiLevelType w:val="hybridMultilevel"/>
    <w:tmpl w:val="697656F0"/>
    <w:lvl w:ilvl="0" w:tplc="A8F8CF5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EC3ED6"/>
    <w:multiLevelType w:val="hybridMultilevel"/>
    <w:tmpl w:val="08C8551E"/>
    <w:lvl w:ilvl="0" w:tplc="F0AA3C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7D20EB"/>
    <w:multiLevelType w:val="multilevel"/>
    <w:tmpl w:val="2F6489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E247002"/>
    <w:multiLevelType w:val="hybridMultilevel"/>
    <w:tmpl w:val="11181C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FC704D"/>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484785"/>
    <w:multiLevelType w:val="hybridMultilevel"/>
    <w:tmpl w:val="F56CB2B8"/>
    <w:lvl w:ilvl="0" w:tplc="8EBE7F22">
      <w:start w:val="1"/>
      <w:numFmt w:val="lowerLetter"/>
      <w:lvlText w:val="%1."/>
      <w:lvlJc w:val="left"/>
      <w:pPr>
        <w:tabs>
          <w:tab w:val="num" w:pos="360"/>
        </w:tabs>
        <w:ind w:left="360" w:hanging="360"/>
      </w:pPr>
    </w:lvl>
    <w:lvl w:ilvl="1" w:tplc="B7888732">
      <w:start w:val="1"/>
      <w:numFmt w:val="lowerLetter"/>
      <w:lvlText w:val="%2."/>
      <w:lvlJc w:val="left"/>
      <w:pPr>
        <w:tabs>
          <w:tab w:val="num" w:pos="1080"/>
        </w:tabs>
        <w:ind w:left="1080" w:hanging="360"/>
      </w:pPr>
    </w:lvl>
    <w:lvl w:ilvl="2" w:tplc="2D58DF54" w:tentative="1">
      <w:start w:val="1"/>
      <w:numFmt w:val="decimal"/>
      <w:lvlText w:val="(%3)"/>
      <w:lvlJc w:val="left"/>
      <w:pPr>
        <w:tabs>
          <w:tab w:val="num" w:pos="1800"/>
        </w:tabs>
        <w:ind w:left="1800" w:hanging="360"/>
      </w:pPr>
    </w:lvl>
    <w:lvl w:ilvl="3" w:tplc="1B6C6FA0" w:tentative="1">
      <w:start w:val="1"/>
      <w:numFmt w:val="decimal"/>
      <w:lvlText w:val="(%4)"/>
      <w:lvlJc w:val="left"/>
      <w:pPr>
        <w:tabs>
          <w:tab w:val="num" w:pos="2520"/>
        </w:tabs>
        <w:ind w:left="2520" w:hanging="360"/>
      </w:pPr>
    </w:lvl>
    <w:lvl w:ilvl="4" w:tplc="D578ED8A" w:tentative="1">
      <w:start w:val="1"/>
      <w:numFmt w:val="decimal"/>
      <w:lvlText w:val="(%5)"/>
      <w:lvlJc w:val="left"/>
      <w:pPr>
        <w:tabs>
          <w:tab w:val="num" w:pos="3240"/>
        </w:tabs>
        <w:ind w:left="3240" w:hanging="360"/>
      </w:pPr>
    </w:lvl>
    <w:lvl w:ilvl="5" w:tplc="7B2A62B8" w:tentative="1">
      <w:start w:val="1"/>
      <w:numFmt w:val="decimal"/>
      <w:lvlText w:val="(%6)"/>
      <w:lvlJc w:val="left"/>
      <w:pPr>
        <w:tabs>
          <w:tab w:val="num" w:pos="3960"/>
        </w:tabs>
        <w:ind w:left="3960" w:hanging="360"/>
      </w:pPr>
    </w:lvl>
    <w:lvl w:ilvl="6" w:tplc="8C1817DC" w:tentative="1">
      <w:start w:val="1"/>
      <w:numFmt w:val="decimal"/>
      <w:lvlText w:val="(%7)"/>
      <w:lvlJc w:val="left"/>
      <w:pPr>
        <w:tabs>
          <w:tab w:val="num" w:pos="4680"/>
        </w:tabs>
        <w:ind w:left="4680" w:hanging="360"/>
      </w:pPr>
    </w:lvl>
    <w:lvl w:ilvl="7" w:tplc="ACE443AC" w:tentative="1">
      <w:start w:val="1"/>
      <w:numFmt w:val="decimal"/>
      <w:lvlText w:val="(%8)"/>
      <w:lvlJc w:val="left"/>
      <w:pPr>
        <w:tabs>
          <w:tab w:val="num" w:pos="5400"/>
        </w:tabs>
        <w:ind w:left="5400" w:hanging="360"/>
      </w:pPr>
    </w:lvl>
    <w:lvl w:ilvl="8" w:tplc="AA6EC80C" w:tentative="1">
      <w:start w:val="1"/>
      <w:numFmt w:val="decimal"/>
      <w:lvlText w:val="(%9)"/>
      <w:lvlJc w:val="left"/>
      <w:pPr>
        <w:tabs>
          <w:tab w:val="num" w:pos="6120"/>
        </w:tabs>
        <w:ind w:left="6120" w:hanging="360"/>
      </w:pPr>
    </w:lvl>
  </w:abstractNum>
  <w:abstractNum w:abstractNumId="31" w15:restartNumberingAfterBreak="0">
    <w:nsid w:val="20B27BFD"/>
    <w:multiLevelType w:val="multilevel"/>
    <w:tmpl w:val="147657BA"/>
    <w:lvl w:ilvl="0">
      <w:start w:val="1"/>
      <w:numFmt w:val="bullet"/>
      <w:pStyle w:val="01squarebullet"/>
      <w:lvlText w:val=""/>
      <w:lvlJc w:val="left"/>
      <w:pPr>
        <w:ind w:left="360" w:hanging="360"/>
      </w:pPr>
      <w:rPr>
        <w:rFonts w:ascii="Wingdings" w:hAnsi="Wingdings" w:hint="default"/>
        <w:color w:val="auto"/>
        <w:sz w:val="24"/>
      </w:rPr>
    </w:lvl>
    <w:lvl w:ilvl="1">
      <w:start w:val="1"/>
      <w:numFmt w:val="bullet"/>
      <w:lvlText w:val="–"/>
      <w:lvlJc w:val="left"/>
      <w:pPr>
        <w:tabs>
          <w:tab w:val="num" w:pos="646"/>
        </w:tabs>
        <w:ind w:left="644" w:hanging="284"/>
      </w:pPr>
      <w:rPr>
        <w:rFonts w:ascii="Arial" w:hAnsi="Arial" w:hint="default"/>
        <w:color w:val="auto"/>
        <w:sz w:val="24"/>
      </w:rPr>
    </w:lvl>
    <w:lvl w:ilvl="2">
      <w:start w:val="1"/>
      <w:numFmt w:val="bullet"/>
      <w:lvlText w:val="□"/>
      <w:lvlJc w:val="left"/>
      <w:pPr>
        <w:tabs>
          <w:tab w:val="num" w:pos="924"/>
        </w:tabs>
        <w:ind w:left="927" w:hanging="283"/>
      </w:pPr>
      <w:rPr>
        <w:rFonts w:ascii="Times New Roman" w:hAnsi="Times New Roman" w:cs="Times New Roman" w:hint="default"/>
        <w:color w:val="auto"/>
        <w:sz w:val="20"/>
      </w:rPr>
    </w:lvl>
    <w:lvl w:ilvl="3">
      <w:start w:val="1"/>
      <w:numFmt w:val="bulle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2" w15:restartNumberingAfterBreak="0">
    <w:nsid w:val="21434FA5"/>
    <w:multiLevelType w:val="hybridMultilevel"/>
    <w:tmpl w:val="F56CB2B8"/>
    <w:lvl w:ilvl="0" w:tplc="8EBE7F22">
      <w:start w:val="1"/>
      <w:numFmt w:val="lowerLetter"/>
      <w:lvlText w:val="%1."/>
      <w:lvlJc w:val="left"/>
      <w:pPr>
        <w:tabs>
          <w:tab w:val="num" w:pos="720"/>
        </w:tabs>
        <w:ind w:left="720" w:hanging="360"/>
      </w:pPr>
    </w:lvl>
    <w:lvl w:ilvl="1" w:tplc="B7888732">
      <w:start w:val="1"/>
      <w:numFmt w:val="lowerLetter"/>
      <w:lvlText w:val="%2."/>
      <w:lvlJc w:val="left"/>
      <w:pPr>
        <w:tabs>
          <w:tab w:val="num" w:pos="1440"/>
        </w:tabs>
        <w:ind w:left="1440" w:hanging="360"/>
      </w:pPr>
    </w:lvl>
    <w:lvl w:ilvl="2" w:tplc="2D58DF54" w:tentative="1">
      <w:start w:val="1"/>
      <w:numFmt w:val="decimal"/>
      <w:lvlText w:val="(%3)"/>
      <w:lvlJc w:val="left"/>
      <w:pPr>
        <w:tabs>
          <w:tab w:val="num" w:pos="2160"/>
        </w:tabs>
        <w:ind w:left="2160" w:hanging="360"/>
      </w:pPr>
    </w:lvl>
    <w:lvl w:ilvl="3" w:tplc="1B6C6FA0" w:tentative="1">
      <w:start w:val="1"/>
      <w:numFmt w:val="decimal"/>
      <w:lvlText w:val="(%4)"/>
      <w:lvlJc w:val="left"/>
      <w:pPr>
        <w:tabs>
          <w:tab w:val="num" w:pos="2880"/>
        </w:tabs>
        <w:ind w:left="2880" w:hanging="360"/>
      </w:pPr>
    </w:lvl>
    <w:lvl w:ilvl="4" w:tplc="D578ED8A" w:tentative="1">
      <w:start w:val="1"/>
      <w:numFmt w:val="decimal"/>
      <w:lvlText w:val="(%5)"/>
      <w:lvlJc w:val="left"/>
      <w:pPr>
        <w:tabs>
          <w:tab w:val="num" w:pos="3600"/>
        </w:tabs>
        <w:ind w:left="3600" w:hanging="360"/>
      </w:pPr>
    </w:lvl>
    <w:lvl w:ilvl="5" w:tplc="7B2A62B8" w:tentative="1">
      <w:start w:val="1"/>
      <w:numFmt w:val="decimal"/>
      <w:lvlText w:val="(%6)"/>
      <w:lvlJc w:val="left"/>
      <w:pPr>
        <w:tabs>
          <w:tab w:val="num" w:pos="4320"/>
        </w:tabs>
        <w:ind w:left="4320" w:hanging="360"/>
      </w:pPr>
    </w:lvl>
    <w:lvl w:ilvl="6" w:tplc="8C1817DC" w:tentative="1">
      <w:start w:val="1"/>
      <w:numFmt w:val="decimal"/>
      <w:lvlText w:val="(%7)"/>
      <w:lvlJc w:val="left"/>
      <w:pPr>
        <w:tabs>
          <w:tab w:val="num" w:pos="5040"/>
        </w:tabs>
        <w:ind w:left="5040" w:hanging="360"/>
      </w:pPr>
    </w:lvl>
    <w:lvl w:ilvl="7" w:tplc="ACE443AC" w:tentative="1">
      <w:start w:val="1"/>
      <w:numFmt w:val="decimal"/>
      <w:lvlText w:val="(%8)"/>
      <w:lvlJc w:val="left"/>
      <w:pPr>
        <w:tabs>
          <w:tab w:val="num" w:pos="5760"/>
        </w:tabs>
        <w:ind w:left="5760" w:hanging="360"/>
      </w:pPr>
    </w:lvl>
    <w:lvl w:ilvl="8" w:tplc="AA6EC80C" w:tentative="1">
      <w:start w:val="1"/>
      <w:numFmt w:val="decimal"/>
      <w:lvlText w:val="(%9)"/>
      <w:lvlJc w:val="left"/>
      <w:pPr>
        <w:tabs>
          <w:tab w:val="num" w:pos="6480"/>
        </w:tabs>
        <w:ind w:left="6480" w:hanging="360"/>
      </w:pPr>
    </w:lvl>
  </w:abstractNum>
  <w:abstractNum w:abstractNumId="33" w15:restartNumberingAfterBreak="0">
    <w:nsid w:val="2278010C"/>
    <w:multiLevelType w:val="hybridMultilevel"/>
    <w:tmpl w:val="A37C668A"/>
    <w:lvl w:ilvl="0" w:tplc="6136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E84555"/>
    <w:multiLevelType w:val="hybridMultilevel"/>
    <w:tmpl w:val="D372735A"/>
    <w:lvl w:ilvl="0" w:tplc="E90C052A">
      <w:start w:val="1"/>
      <w:numFmt w:val="lowerRoman"/>
      <w:lvlText w:val="%1)"/>
      <w:lvlJc w:val="left"/>
      <w:pPr>
        <w:ind w:left="1850" w:hanging="720"/>
      </w:pPr>
      <w:rPr>
        <w:rFonts w:hint="default"/>
        <w:i w:val="0"/>
        <w:iCs w:val="0"/>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5" w15:restartNumberingAfterBreak="0">
    <w:nsid w:val="27B037D1"/>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3E1991"/>
    <w:multiLevelType w:val="hybridMultilevel"/>
    <w:tmpl w:val="FE627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322BB8"/>
    <w:multiLevelType w:val="hybridMultilevel"/>
    <w:tmpl w:val="EC2275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AE552C8"/>
    <w:multiLevelType w:val="hybridMultilevel"/>
    <w:tmpl w:val="745A4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B68675B"/>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B6F6DE3"/>
    <w:multiLevelType w:val="hybridMultilevel"/>
    <w:tmpl w:val="48623A68"/>
    <w:lvl w:ilvl="0" w:tplc="118468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0B5590"/>
    <w:multiLevelType w:val="hybridMultilevel"/>
    <w:tmpl w:val="3440C590"/>
    <w:lvl w:ilvl="0" w:tplc="4DB4621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4C0048"/>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E8140B4"/>
    <w:multiLevelType w:val="hybridMultilevel"/>
    <w:tmpl w:val="EAD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9C4DA2"/>
    <w:multiLevelType w:val="multilevel"/>
    <w:tmpl w:val="A912A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ED85DD4"/>
    <w:multiLevelType w:val="hybridMultilevel"/>
    <w:tmpl w:val="C4625BE2"/>
    <w:lvl w:ilvl="0" w:tplc="B39C19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3A01BF"/>
    <w:multiLevelType w:val="multilevel"/>
    <w:tmpl w:val="F8E862BC"/>
    <w:lvl w:ilvl="0">
      <w:start w:val="1"/>
      <w:numFmt w:val="lowerLetter"/>
      <w:lvlText w:val="%1."/>
      <w:lvlJc w:val="left"/>
      <w:pPr>
        <w:ind w:left="360" w:hanging="360"/>
      </w:pPr>
      <w:rPr>
        <w:rFonts w:hint="default"/>
        <w:b/>
        <w:bCs/>
        <w:i w:val="0"/>
        <w:iCs w:val="0"/>
      </w:rPr>
    </w:lvl>
    <w:lvl w:ilvl="1">
      <w:start w:val="1"/>
      <w:numFmt w:val="decimal"/>
      <w:isLgl/>
      <w:lvlText w:val="%1.%2"/>
      <w:lvlJc w:val="left"/>
      <w:pPr>
        <w:ind w:left="750" w:hanging="390"/>
      </w:pPr>
      <w:rPr>
        <w:rFonts w:hint="default"/>
        <w:b w:val="0"/>
      </w:rPr>
    </w:lvl>
    <w:lvl w:ilvl="2">
      <w:start w:val="1"/>
      <w:numFmt w:val="lowerRoman"/>
      <w:lvlText w:val="%3."/>
      <w:lvlJc w:val="right"/>
      <w:pPr>
        <w:ind w:left="1440" w:hanging="720"/>
      </w:pPr>
      <w:rPr>
        <w:rFonts w:hint="default"/>
        <w:b w:val="0"/>
        <w:i w:val="0"/>
        <w:iCs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47" w15:restartNumberingAfterBreak="0">
    <w:nsid w:val="2FD07351"/>
    <w:multiLevelType w:val="hybridMultilevel"/>
    <w:tmpl w:val="8C704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13A47D6"/>
    <w:multiLevelType w:val="hybridMultilevel"/>
    <w:tmpl w:val="25A44B78"/>
    <w:lvl w:ilvl="0" w:tplc="899CCFC8">
      <w:start w:val="1"/>
      <w:numFmt w:val="bullet"/>
      <w:lvlText w:val="-"/>
      <w:lvlJc w:val="left"/>
      <w:pPr>
        <w:ind w:left="1830" w:hanging="360"/>
      </w:pPr>
      <w:rPr>
        <w:rFonts w:ascii="Calibri" w:eastAsiaTheme="minorHAnsi" w:hAnsi="Calibri" w:cs="Calibri" w:hint="default"/>
      </w:rPr>
    </w:lvl>
    <w:lvl w:ilvl="1" w:tplc="04090003">
      <w:start w:val="1"/>
      <w:numFmt w:val="bullet"/>
      <w:lvlText w:val="o"/>
      <w:lvlJc w:val="left"/>
      <w:pPr>
        <w:ind w:left="2550" w:hanging="360"/>
      </w:pPr>
      <w:rPr>
        <w:rFonts w:ascii="Courier New" w:hAnsi="Courier New" w:cs="Courier New" w:hint="default"/>
      </w:rPr>
    </w:lvl>
    <w:lvl w:ilvl="2" w:tplc="04090005">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9" w15:restartNumberingAfterBreak="0">
    <w:nsid w:val="313F03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0" w15:restartNumberingAfterBreak="0">
    <w:nsid w:val="32231370"/>
    <w:multiLevelType w:val="hybridMultilevel"/>
    <w:tmpl w:val="A37C668A"/>
    <w:lvl w:ilvl="0" w:tplc="6136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854FC2"/>
    <w:multiLevelType w:val="hybridMultilevel"/>
    <w:tmpl w:val="796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2E7955"/>
    <w:multiLevelType w:val="hybridMultilevel"/>
    <w:tmpl w:val="0BD06D02"/>
    <w:lvl w:ilvl="0" w:tplc="5E2AD164">
      <w:start w:val="1"/>
      <w:numFmt w:val="lowerRoman"/>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9C15F1D"/>
    <w:multiLevelType w:val="multilevel"/>
    <w:tmpl w:val="9272A080"/>
    <w:lvl w:ilvl="0">
      <w:start w:val="1"/>
      <w:numFmt w:val="decimal"/>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3A0628AB"/>
    <w:multiLevelType w:val="hybridMultilevel"/>
    <w:tmpl w:val="CC1CC9C8"/>
    <w:lvl w:ilvl="0" w:tplc="B852B94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AB744E9"/>
    <w:multiLevelType w:val="hybridMultilevel"/>
    <w:tmpl w:val="3ED25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8357DC"/>
    <w:multiLevelType w:val="hybridMultilevel"/>
    <w:tmpl w:val="BB320042"/>
    <w:lvl w:ilvl="0" w:tplc="53D81E9E">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DAB10A9"/>
    <w:multiLevelType w:val="hybridMultilevel"/>
    <w:tmpl w:val="D0422C82"/>
    <w:lvl w:ilvl="0" w:tplc="55CE4A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E044DF5"/>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305371"/>
    <w:multiLevelType w:val="hybridMultilevel"/>
    <w:tmpl w:val="D8061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FA154D8"/>
    <w:multiLevelType w:val="hybridMultilevel"/>
    <w:tmpl w:val="42F29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AB3598"/>
    <w:multiLevelType w:val="multilevel"/>
    <w:tmpl w:val="DA6AABF2"/>
    <w:lvl w:ilvl="0">
      <w:start w:val="1"/>
      <w:numFmt w:val="lowerLetter"/>
      <w:lvlText w:val="%1."/>
      <w:lvlJc w:val="left"/>
      <w:pPr>
        <w:ind w:left="360" w:hanging="360"/>
      </w:pPr>
      <w:rPr>
        <w:rFonts w:hint="default"/>
        <w:b/>
        <w:bCs/>
        <w:i w:val="0"/>
        <w:iCs w:val="0"/>
      </w:rPr>
    </w:lvl>
    <w:lvl w:ilvl="1">
      <w:start w:val="1"/>
      <w:numFmt w:val="decimal"/>
      <w:isLgl/>
      <w:lvlText w:val="%1.%2"/>
      <w:lvlJc w:val="left"/>
      <w:pPr>
        <w:ind w:left="750" w:hanging="390"/>
      </w:pPr>
      <w:rPr>
        <w:rFonts w:hint="default"/>
        <w:b w:val="0"/>
      </w:rPr>
    </w:lvl>
    <w:lvl w:ilvl="2">
      <w:start w:val="1"/>
      <w:numFmt w:val="lowerRoman"/>
      <w:lvlText w:val="%3."/>
      <w:lvlJc w:val="right"/>
      <w:pPr>
        <w:ind w:left="1440" w:hanging="720"/>
      </w:pPr>
      <w:rPr>
        <w:rFonts w:hint="default"/>
        <w:b w:val="0"/>
        <w:i w:val="0"/>
        <w:iCs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62" w15:restartNumberingAfterBreak="0">
    <w:nsid w:val="4095584F"/>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B51BED"/>
    <w:multiLevelType w:val="hybridMultilevel"/>
    <w:tmpl w:val="FE627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7B409E"/>
    <w:multiLevelType w:val="hybridMultilevel"/>
    <w:tmpl w:val="3C388492"/>
    <w:lvl w:ilvl="0" w:tplc="707CCD80">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5" w15:restartNumberingAfterBreak="0">
    <w:nsid w:val="4304413C"/>
    <w:multiLevelType w:val="hybridMultilevel"/>
    <w:tmpl w:val="F56CB2B8"/>
    <w:lvl w:ilvl="0" w:tplc="8EBE7F22">
      <w:start w:val="1"/>
      <w:numFmt w:val="lowerLetter"/>
      <w:lvlText w:val="%1."/>
      <w:lvlJc w:val="left"/>
      <w:pPr>
        <w:tabs>
          <w:tab w:val="num" w:pos="360"/>
        </w:tabs>
        <w:ind w:left="360" w:hanging="360"/>
      </w:pPr>
    </w:lvl>
    <w:lvl w:ilvl="1" w:tplc="B7888732">
      <w:start w:val="1"/>
      <w:numFmt w:val="lowerLetter"/>
      <w:lvlText w:val="%2."/>
      <w:lvlJc w:val="left"/>
      <w:pPr>
        <w:tabs>
          <w:tab w:val="num" w:pos="1080"/>
        </w:tabs>
        <w:ind w:left="1080" w:hanging="360"/>
      </w:pPr>
    </w:lvl>
    <w:lvl w:ilvl="2" w:tplc="2D58DF54" w:tentative="1">
      <w:start w:val="1"/>
      <w:numFmt w:val="decimal"/>
      <w:lvlText w:val="(%3)"/>
      <w:lvlJc w:val="left"/>
      <w:pPr>
        <w:tabs>
          <w:tab w:val="num" w:pos="1800"/>
        </w:tabs>
        <w:ind w:left="1800" w:hanging="360"/>
      </w:pPr>
    </w:lvl>
    <w:lvl w:ilvl="3" w:tplc="1B6C6FA0" w:tentative="1">
      <w:start w:val="1"/>
      <w:numFmt w:val="decimal"/>
      <w:lvlText w:val="(%4)"/>
      <w:lvlJc w:val="left"/>
      <w:pPr>
        <w:tabs>
          <w:tab w:val="num" w:pos="2520"/>
        </w:tabs>
        <w:ind w:left="2520" w:hanging="360"/>
      </w:pPr>
    </w:lvl>
    <w:lvl w:ilvl="4" w:tplc="D578ED8A" w:tentative="1">
      <w:start w:val="1"/>
      <w:numFmt w:val="decimal"/>
      <w:lvlText w:val="(%5)"/>
      <w:lvlJc w:val="left"/>
      <w:pPr>
        <w:tabs>
          <w:tab w:val="num" w:pos="3240"/>
        </w:tabs>
        <w:ind w:left="3240" w:hanging="360"/>
      </w:pPr>
    </w:lvl>
    <w:lvl w:ilvl="5" w:tplc="7B2A62B8" w:tentative="1">
      <w:start w:val="1"/>
      <w:numFmt w:val="decimal"/>
      <w:lvlText w:val="(%6)"/>
      <w:lvlJc w:val="left"/>
      <w:pPr>
        <w:tabs>
          <w:tab w:val="num" w:pos="3960"/>
        </w:tabs>
        <w:ind w:left="3960" w:hanging="360"/>
      </w:pPr>
    </w:lvl>
    <w:lvl w:ilvl="6" w:tplc="8C1817DC" w:tentative="1">
      <w:start w:val="1"/>
      <w:numFmt w:val="decimal"/>
      <w:lvlText w:val="(%7)"/>
      <w:lvlJc w:val="left"/>
      <w:pPr>
        <w:tabs>
          <w:tab w:val="num" w:pos="4680"/>
        </w:tabs>
        <w:ind w:left="4680" w:hanging="360"/>
      </w:pPr>
    </w:lvl>
    <w:lvl w:ilvl="7" w:tplc="ACE443AC" w:tentative="1">
      <w:start w:val="1"/>
      <w:numFmt w:val="decimal"/>
      <w:lvlText w:val="(%8)"/>
      <w:lvlJc w:val="left"/>
      <w:pPr>
        <w:tabs>
          <w:tab w:val="num" w:pos="5400"/>
        </w:tabs>
        <w:ind w:left="5400" w:hanging="360"/>
      </w:pPr>
    </w:lvl>
    <w:lvl w:ilvl="8" w:tplc="AA6EC80C" w:tentative="1">
      <w:start w:val="1"/>
      <w:numFmt w:val="decimal"/>
      <w:lvlText w:val="(%9)"/>
      <w:lvlJc w:val="left"/>
      <w:pPr>
        <w:tabs>
          <w:tab w:val="num" w:pos="6120"/>
        </w:tabs>
        <w:ind w:left="6120" w:hanging="360"/>
      </w:pPr>
    </w:lvl>
  </w:abstractNum>
  <w:abstractNum w:abstractNumId="66" w15:restartNumberingAfterBreak="0">
    <w:nsid w:val="439A31A3"/>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3A012AE"/>
    <w:multiLevelType w:val="multilevel"/>
    <w:tmpl w:val="F8E862BC"/>
    <w:lvl w:ilvl="0">
      <w:start w:val="1"/>
      <w:numFmt w:val="lowerLetter"/>
      <w:lvlText w:val="%1."/>
      <w:lvlJc w:val="left"/>
      <w:pPr>
        <w:ind w:left="360" w:hanging="360"/>
      </w:pPr>
      <w:rPr>
        <w:rFonts w:hint="default"/>
        <w:b/>
        <w:bCs/>
        <w:i w:val="0"/>
        <w:iCs w:val="0"/>
      </w:rPr>
    </w:lvl>
    <w:lvl w:ilvl="1">
      <w:start w:val="1"/>
      <w:numFmt w:val="decimal"/>
      <w:isLgl/>
      <w:lvlText w:val="%1.%2"/>
      <w:lvlJc w:val="left"/>
      <w:pPr>
        <w:ind w:left="750" w:hanging="390"/>
      </w:pPr>
      <w:rPr>
        <w:rFonts w:hint="default"/>
        <w:b w:val="0"/>
      </w:rPr>
    </w:lvl>
    <w:lvl w:ilvl="2">
      <w:start w:val="1"/>
      <w:numFmt w:val="lowerRoman"/>
      <w:lvlText w:val="%3."/>
      <w:lvlJc w:val="right"/>
      <w:pPr>
        <w:ind w:left="1440" w:hanging="720"/>
      </w:pPr>
      <w:rPr>
        <w:rFonts w:hint="default"/>
        <w:b w:val="0"/>
        <w:i w:val="0"/>
        <w:iCs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68" w15:restartNumberingAfterBreak="0">
    <w:nsid w:val="43C80EE0"/>
    <w:multiLevelType w:val="hybridMultilevel"/>
    <w:tmpl w:val="777895C0"/>
    <w:lvl w:ilvl="0" w:tplc="F240298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49E1FD5"/>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645005"/>
    <w:multiLevelType w:val="hybridMultilevel"/>
    <w:tmpl w:val="066CD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57E253F"/>
    <w:multiLevelType w:val="hybridMultilevel"/>
    <w:tmpl w:val="44C464F0"/>
    <w:lvl w:ilvl="0" w:tplc="48D0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59411C8"/>
    <w:multiLevelType w:val="hybridMultilevel"/>
    <w:tmpl w:val="6BE81D98"/>
    <w:lvl w:ilvl="0" w:tplc="6B40E6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6284222"/>
    <w:multiLevelType w:val="hybridMultilevel"/>
    <w:tmpl w:val="4D5E5EE4"/>
    <w:lvl w:ilvl="0" w:tplc="41D85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7804837"/>
    <w:multiLevelType w:val="hybridMultilevel"/>
    <w:tmpl w:val="CB3408E8"/>
    <w:lvl w:ilvl="0" w:tplc="78A27B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8B21491"/>
    <w:multiLevelType w:val="hybridMultilevel"/>
    <w:tmpl w:val="4484DD54"/>
    <w:lvl w:ilvl="0" w:tplc="62F8564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8FA501E"/>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9EB0158"/>
    <w:multiLevelType w:val="hybridMultilevel"/>
    <w:tmpl w:val="AEA6820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D310E56"/>
    <w:multiLevelType w:val="hybridMultilevel"/>
    <w:tmpl w:val="F56CB2B8"/>
    <w:lvl w:ilvl="0" w:tplc="8EBE7F22">
      <w:start w:val="1"/>
      <w:numFmt w:val="lowerLetter"/>
      <w:lvlText w:val="%1."/>
      <w:lvlJc w:val="left"/>
      <w:pPr>
        <w:tabs>
          <w:tab w:val="num" w:pos="720"/>
        </w:tabs>
        <w:ind w:left="720" w:hanging="360"/>
      </w:pPr>
    </w:lvl>
    <w:lvl w:ilvl="1" w:tplc="B7888732">
      <w:start w:val="1"/>
      <w:numFmt w:val="lowerLetter"/>
      <w:lvlText w:val="%2."/>
      <w:lvlJc w:val="left"/>
      <w:pPr>
        <w:tabs>
          <w:tab w:val="num" w:pos="1440"/>
        </w:tabs>
        <w:ind w:left="1440" w:hanging="360"/>
      </w:pPr>
    </w:lvl>
    <w:lvl w:ilvl="2" w:tplc="2D58DF54" w:tentative="1">
      <w:start w:val="1"/>
      <w:numFmt w:val="decimal"/>
      <w:lvlText w:val="(%3)"/>
      <w:lvlJc w:val="left"/>
      <w:pPr>
        <w:tabs>
          <w:tab w:val="num" w:pos="2160"/>
        </w:tabs>
        <w:ind w:left="2160" w:hanging="360"/>
      </w:pPr>
    </w:lvl>
    <w:lvl w:ilvl="3" w:tplc="1B6C6FA0" w:tentative="1">
      <w:start w:val="1"/>
      <w:numFmt w:val="decimal"/>
      <w:lvlText w:val="(%4)"/>
      <w:lvlJc w:val="left"/>
      <w:pPr>
        <w:tabs>
          <w:tab w:val="num" w:pos="2880"/>
        </w:tabs>
        <w:ind w:left="2880" w:hanging="360"/>
      </w:pPr>
    </w:lvl>
    <w:lvl w:ilvl="4" w:tplc="D578ED8A" w:tentative="1">
      <w:start w:val="1"/>
      <w:numFmt w:val="decimal"/>
      <w:lvlText w:val="(%5)"/>
      <w:lvlJc w:val="left"/>
      <w:pPr>
        <w:tabs>
          <w:tab w:val="num" w:pos="3600"/>
        </w:tabs>
        <w:ind w:left="3600" w:hanging="360"/>
      </w:pPr>
    </w:lvl>
    <w:lvl w:ilvl="5" w:tplc="7B2A62B8" w:tentative="1">
      <w:start w:val="1"/>
      <w:numFmt w:val="decimal"/>
      <w:lvlText w:val="(%6)"/>
      <w:lvlJc w:val="left"/>
      <w:pPr>
        <w:tabs>
          <w:tab w:val="num" w:pos="4320"/>
        </w:tabs>
        <w:ind w:left="4320" w:hanging="360"/>
      </w:pPr>
    </w:lvl>
    <w:lvl w:ilvl="6" w:tplc="8C1817DC" w:tentative="1">
      <w:start w:val="1"/>
      <w:numFmt w:val="decimal"/>
      <w:lvlText w:val="(%7)"/>
      <w:lvlJc w:val="left"/>
      <w:pPr>
        <w:tabs>
          <w:tab w:val="num" w:pos="5040"/>
        </w:tabs>
        <w:ind w:left="5040" w:hanging="360"/>
      </w:pPr>
    </w:lvl>
    <w:lvl w:ilvl="7" w:tplc="ACE443AC" w:tentative="1">
      <w:start w:val="1"/>
      <w:numFmt w:val="decimal"/>
      <w:lvlText w:val="(%8)"/>
      <w:lvlJc w:val="left"/>
      <w:pPr>
        <w:tabs>
          <w:tab w:val="num" w:pos="5760"/>
        </w:tabs>
        <w:ind w:left="5760" w:hanging="360"/>
      </w:pPr>
    </w:lvl>
    <w:lvl w:ilvl="8" w:tplc="AA6EC80C" w:tentative="1">
      <w:start w:val="1"/>
      <w:numFmt w:val="decimal"/>
      <w:lvlText w:val="(%9)"/>
      <w:lvlJc w:val="left"/>
      <w:pPr>
        <w:tabs>
          <w:tab w:val="num" w:pos="6480"/>
        </w:tabs>
        <w:ind w:left="6480" w:hanging="360"/>
      </w:pPr>
    </w:lvl>
  </w:abstractNum>
  <w:abstractNum w:abstractNumId="79" w15:restartNumberingAfterBreak="0">
    <w:nsid w:val="4E5B50B7"/>
    <w:multiLevelType w:val="hybridMultilevel"/>
    <w:tmpl w:val="85CA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EED209F"/>
    <w:multiLevelType w:val="multilevel"/>
    <w:tmpl w:val="4A4CA28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1" w15:restartNumberingAfterBreak="0">
    <w:nsid w:val="4F525586"/>
    <w:multiLevelType w:val="hybridMultilevel"/>
    <w:tmpl w:val="4D5E5EE4"/>
    <w:lvl w:ilvl="0" w:tplc="41D852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AC2141"/>
    <w:multiLevelType w:val="hybridMultilevel"/>
    <w:tmpl w:val="0958F746"/>
    <w:lvl w:ilvl="0" w:tplc="3EB284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B71BEA"/>
    <w:multiLevelType w:val="hybridMultilevel"/>
    <w:tmpl w:val="25C430F8"/>
    <w:lvl w:ilvl="0" w:tplc="6136F178">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2AA0B8D"/>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0C2DE9"/>
    <w:multiLevelType w:val="hybridMultilevel"/>
    <w:tmpl w:val="697656F0"/>
    <w:lvl w:ilvl="0" w:tplc="A8F8CF5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4213213"/>
    <w:multiLevelType w:val="hybridMultilevel"/>
    <w:tmpl w:val="94C00C54"/>
    <w:lvl w:ilvl="0" w:tplc="F0AA3C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0C6EA4"/>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5D773CB"/>
    <w:multiLevelType w:val="hybridMultilevel"/>
    <w:tmpl w:val="51E0739E"/>
    <w:lvl w:ilvl="0" w:tplc="6136F178">
      <w:start w:val="1"/>
      <w:numFmt w:val="decimal"/>
      <w:lvlText w:val="%1."/>
      <w:lvlJc w:val="left"/>
      <w:pPr>
        <w:ind w:left="720" w:hanging="360"/>
      </w:pPr>
      <w:rPr>
        <w:rFonts w:hint="default"/>
      </w:rPr>
    </w:lvl>
    <w:lvl w:ilvl="1" w:tplc="FE7216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3F7DE8"/>
    <w:multiLevelType w:val="hybridMultilevel"/>
    <w:tmpl w:val="44C464F0"/>
    <w:lvl w:ilvl="0" w:tplc="48D0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197267"/>
    <w:multiLevelType w:val="hybridMultilevel"/>
    <w:tmpl w:val="0958F746"/>
    <w:lvl w:ilvl="0" w:tplc="3EB284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3B527C"/>
    <w:multiLevelType w:val="hybridMultilevel"/>
    <w:tmpl w:val="44C464F0"/>
    <w:lvl w:ilvl="0" w:tplc="48D0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092358"/>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26F7E97"/>
    <w:multiLevelType w:val="hybridMultilevel"/>
    <w:tmpl w:val="44C464F0"/>
    <w:lvl w:ilvl="0" w:tplc="48D0E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2F94086"/>
    <w:multiLevelType w:val="hybridMultilevel"/>
    <w:tmpl w:val="320C4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639222AB"/>
    <w:multiLevelType w:val="hybridMultilevel"/>
    <w:tmpl w:val="E4BCA3D4"/>
    <w:lvl w:ilvl="0" w:tplc="A8F8CF5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44165FF"/>
    <w:multiLevelType w:val="hybridMultilevel"/>
    <w:tmpl w:val="AF4A3174"/>
    <w:lvl w:ilvl="0" w:tplc="81AC265A">
      <w:start w:val="1"/>
      <w:numFmt w:val="decimal"/>
      <w:pStyle w:val="Minh"/>
      <w:lvlText w:val="%1."/>
      <w:lvlJc w:val="left"/>
      <w:pPr>
        <w:ind w:left="360" w:hanging="360"/>
      </w:pPr>
      <w:rPr>
        <w:rFonts w:ascii="Times New Roman" w:hAnsi="Times New Roman" w:cs="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66FC0D41"/>
    <w:multiLevelType w:val="hybridMultilevel"/>
    <w:tmpl w:val="72E2AE54"/>
    <w:lvl w:ilvl="0" w:tplc="899CCFC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9" w15:restartNumberingAfterBreak="0">
    <w:nsid w:val="67125E31"/>
    <w:multiLevelType w:val="hybridMultilevel"/>
    <w:tmpl w:val="7C9A816E"/>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81B2551"/>
    <w:multiLevelType w:val="hybridMultilevel"/>
    <w:tmpl w:val="A13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444E00"/>
    <w:multiLevelType w:val="hybridMultilevel"/>
    <w:tmpl w:val="1D3E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8C800D3"/>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7B73FD"/>
    <w:multiLevelType w:val="hybridMultilevel"/>
    <w:tmpl w:val="A37C668A"/>
    <w:lvl w:ilvl="0" w:tplc="6136F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29768A"/>
    <w:multiLevelType w:val="hybridMultilevel"/>
    <w:tmpl w:val="82D214E0"/>
    <w:lvl w:ilvl="0" w:tplc="592E99D0">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ADE2663"/>
    <w:multiLevelType w:val="multilevel"/>
    <w:tmpl w:val="51F0CDA0"/>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6" w15:restartNumberingAfterBreak="0">
    <w:nsid w:val="6BF97F1D"/>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C096FAB"/>
    <w:multiLevelType w:val="multilevel"/>
    <w:tmpl w:val="2F38D6D2"/>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8" w15:restartNumberingAfterBreak="0">
    <w:nsid w:val="6D3139E7"/>
    <w:multiLevelType w:val="hybridMultilevel"/>
    <w:tmpl w:val="FB4A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D3D019E"/>
    <w:multiLevelType w:val="hybridMultilevel"/>
    <w:tmpl w:val="F56CB2B8"/>
    <w:lvl w:ilvl="0" w:tplc="8EBE7F22">
      <w:start w:val="1"/>
      <w:numFmt w:val="lowerLetter"/>
      <w:lvlText w:val="%1."/>
      <w:lvlJc w:val="left"/>
      <w:pPr>
        <w:tabs>
          <w:tab w:val="num" w:pos="360"/>
        </w:tabs>
        <w:ind w:left="360" w:hanging="360"/>
      </w:pPr>
    </w:lvl>
    <w:lvl w:ilvl="1" w:tplc="B7888732">
      <w:start w:val="1"/>
      <w:numFmt w:val="lowerLetter"/>
      <w:lvlText w:val="%2."/>
      <w:lvlJc w:val="left"/>
      <w:pPr>
        <w:tabs>
          <w:tab w:val="num" w:pos="1080"/>
        </w:tabs>
        <w:ind w:left="1080" w:hanging="360"/>
      </w:pPr>
    </w:lvl>
    <w:lvl w:ilvl="2" w:tplc="2D58DF54" w:tentative="1">
      <w:start w:val="1"/>
      <w:numFmt w:val="decimal"/>
      <w:lvlText w:val="(%3)"/>
      <w:lvlJc w:val="left"/>
      <w:pPr>
        <w:tabs>
          <w:tab w:val="num" w:pos="1800"/>
        </w:tabs>
        <w:ind w:left="1800" w:hanging="360"/>
      </w:pPr>
    </w:lvl>
    <w:lvl w:ilvl="3" w:tplc="1B6C6FA0" w:tentative="1">
      <w:start w:val="1"/>
      <w:numFmt w:val="decimal"/>
      <w:lvlText w:val="(%4)"/>
      <w:lvlJc w:val="left"/>
      <w:pPr>
        <w:tabs>
          <w:tab w:val="num" w:pos="2520"/>
        </w:tabs>
        <w:ind w:left="2520" w:hanging="360"/>
      </w:pPr>
    </w:lvl>
    <w:lvl w:ilvl="4" w:tplc="D578ED8A" w:tentative="1">
      <w:start w:val="1"/>
      <w:numFmt w:val="decimal"/>
      <w:lvlText w:val="(%5)"/>
      <w:lvlJc w:val="left"/>
      <w:pPr>
        <w:tabs>
          <w:tab w:val="num" w:pos="3240"/>
        </w:tabs>
        <w:ind w:left="3240" w:hanging="360"/>
      </w:pPr>
    </w:lvl>
    <w:lvl w:ilvl="5" w:tplc="7B2A62B8" w:tentative="1">
      <w:start w:val="1"/>
      <w:numFmt w:val="decimal"/>
      <w:lvlText w:val="(%6)"/>
      <w:lvlJc w:val="left"/>
      <w:pPr>
        <w:tabs>
          <w:tab w:val="num" w:pos="3960"/>
        </w:tabs>
        <w:ind w:left="3960" w:hanging="360"/>
      </w:pPr>
    </w:lvl>
    <w:lvl w:ilvl="6" w:tplc="8C1817DC" w:tentative="1">
      <w:start w:val="1"/>
      <w:numFmt w:val="decimal"/>
      <w:lvlText w:val="(%7)"/>
      <w:lvlJc w:val="left"/>
      <w:pPr>
        <w:tabs>
          <w:tab w:val="num" w:pos="4680"/>
        </w:tabs>
        <w:ind w:left="4680" w:hanging="360"/>
      </w:pPr>
    </w:lvl>
    <w:lvl w:ilvl="7" w:tplc="ACE443AC" w:tentative="1">
      <w:start w:val="1"/>
      <w:numFmt w:val="decimal"/>
      <w:lvlText w:val="(%8)"/>
      <w:lvlJc w:val="left"/>
      <w:pPr>
        <w:tabs>
          <w:tab w:val="num" w:pos="5400"/>
        </w:tabs>
        <w:ind w:left="5400" w:hanging="360"/>
      </w:pPr>
    </w:lvl>
    <w:lvl w:ilvl="8" w:tplc="AA6EC80C" w:tentative="1">
      <w:start w:val="1"/>
      <w:numFmt w:val="decimal"/>
      <w:lvlText w:val="(%9)"/>
      <w:lvlJc w:val="left"/>
      <w:pPr>
        <w:tabs>
          <w:tab w:val="num" w:pos="6120"/>
        </w:tabs>
        <w:ind w:left="6120" w:hanging="360"/>
      </w:pPr>
    </w:lvl>
  </w:abstractNum>
  <w:abstractNum w:abstractNumId="110" w15:restartNumberingAfterBreak="0">
    <w:nsid w:val="6DB87F89"/>
    <w:multiLevelType w:val="hybridMultilevel"/>
    <w:tmpl w:val="F56CB2B8"/>
    <w:lvl w:ilvl="0" w:tplc="8EBE7F22">
      <w:start w:val="1"/>
      <w:numFmt w:val="lowerLetter"/>
      <w:lvlText w:val="%1."/>
      <w:lvlJc w:val="left"/>
      <w:pPr>
        <w:tabs>
          <w:tab w:val="num" w:pos="720"/>
        </w:tabs>
        <w:ind w:left="720" w:hanging="360"/>
      </w:pPr>
    </w:lvl>
    <w:lvl w:ilvl="1" w:tplc="B7888732">
      <w:start w:val="1"/>
      <w:numFmt w:val="lowerLetter"/>
      <w:lvlText w:val="%2."/>
      <w:lvlJc w:val="left"/>
      <w:pPr>
        <w:tabs>
          <w:tab w:val="num" w:pos="1440"/>
        </w:tabs>
        <w:ind w:left="1440" w:hanging="360"/>
      </w:pPr>
    </w:lvl>
    <w:lvl w:ilvl="2" w:tplc="2D58DF54" w:tentative="1">
      <w:start w:val="1"/>
      <w:numFmt w:val="decimal"/>
      <w:lvlText w:val="(%3)"/>
      <w:lvlJc w:val="left"/>
      <w:pPr>
        <w:tabs>
          <w:tab w:val="num" w:pos="2160"/>
        </w:tabs>
        <w:ind w:left="2160" w:hanging="360"/>
      </w:pPr>
    </w:lvl>
    <w:lvl w:ilvl="3" w:tplc="1B6C6FA0" w:tentative="1">
      <w:start w:val="1"/>
      <w:numFmt w:val="decimal"/>
      <w:lvlText w:val="(%4)"/>
      <w:lvlJc w:val="left"/>
      <w:pPr>
        <w:tabs>
          <w:tab w:val="num" w:pos="2880"/>
        </w:tabs>
        <w:ind w:left="2880" w:hanging="360"/>
      </w:pPr>
    </w:lvl>
    <w:lvl w:ilvl="4" w:tplc="D578ED8A" w:tentative="1">
      <w:start w:val="1"/>
      <w:numFmt w:val="decimal"/>
      <w:lvlText w:val="(%5)"/>
      <w:lvlJc w:val="left"/>
      <w:pPr>
        <w:tabs>
          <w:tab w:val="num" w:pos="3600"/>
        </w:tabs>
        <w:ind w:left="3600" w:hanging="360"/>
      </w:pPr>
    </w:lvl>
    <w:lvl w:ilvl="5" w:tplc="7B2A62B8" w:tentative="1">
      <w:start w:val="1"/>
      <w:numFmt w:val="decimal"/>
      <w:lvlText w:val="(%6)"/>
      <w:lvlJc w:val="left"/>
      <w:pPr>
        <w:tabs>
          <w:tab w:val="num" w:pos="4320"/>
        </w:tabs>
        <w:ind w:left="4320" w:hanging="360"/>
      </w:pPr>
    </w:lvl>
    <w:lvl w:ilvl="6" w:tplc="8C1817DC" w:tentative="1">
      <w:start w:val="1"/>
      <w:numFmt w:val="decimal"/>
      <w:lvlText w:val="(%7)"/>
      <w:lvlJc w:val="left"/>
      <w:pPr>
        <w:tabs>
          <w:tab w:val="num" w:pos="5040"/>
        </w:tabs>
        <w:ind w:left="5040" w:hanging="360"/>
      </w:pPr>
    </w:lvl>
    <w:lvl w:ilvl="7" w:tplc="ACE443AC" w:tentative="1">
      <w:start w:val="1"/>
      <w:numFmt w:val="decimal"/>
      <w:lvlText w:val="(%8)"/>
      <w:lvlJc w:val="left"/>
      <w:pPr>
        <w:tabs>
          <w:tab w:val="num" w:pos="5760"/>
        </w:tabs>
        <w:ind w:left="5760" w:hanging="360"/>
      </w:pPr>
    </w:lvl>
    <w:lvl w:ilvl="8" w:tplc="AA6EC80C" w:tentative="1">
      <w:start w:val="1"/>
      <w:numFmt w:val="decimal"/>
      <w:lvlText w:val="(%9)"/>
      <w:lvlJc w:val="left"/>
      <w:pPr>
        <w:tabs>
          <w:tab w:val="num" w:pos="6480"/>
        </w:tabs>
        <w:ind w:left="6480" w:hanging="360"/>
      </w:pPr>
    </w:lvl>
  </w:abstractNum>
  <w:abstractNum w:abstractNumId="111" w15:restartNumberingAfterBreak="0">
    <w:nsid w:val="70762402"/>
    <w:multiLevelType w:val="hybridMultilevel"/>
    <w:tmpl w:val="21CAAD52"/>
    <w:lvl w:ilvl="0" w:tplc="B1BC24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4467917"/>
    <w:multiLevelType w:val="hybridMultilevel"/>
    <w:tmpl w:val="85465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8D1C89"/>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56D2B78"/>
    <w:multiLevelType w:val="hybridMultilevel"/>
    <w:tmpl w:val="1A4E9240"/>
    <w:lvl w:ilvl="0" w:tplc="5C407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4901BF"/>
    <w:multiLevelType w:val="hybridMultilevel"/>
    <w:tmpl w:val="CCF8CB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8E456D"/>
    <w:multiLevelType w:val="hybridMultilevel"/>
    <w:tmpl w:val="0498BAFE"/>
    <w:lvl w:ilvl="0" w:tplc="E208F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912676A"/>
    <w:multiLevelType w:val="hybridMultilevel"/>
    <w:tmpl w:val="70BA1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9C5532F"/>
    <w:multiLevelType w:val="hybridMultilevel"/>
    <w:tmpl w:val="04BABDDE"/>
    <w:lvl w:ilvl="0" w:tplc="142C60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696B30"/>
    <w:multiLevelType w:val="hybridMultilevel"/>
    <w:tmpl w:val="4FB2DEFC"/>
    <w:lvl w:ilvl="0" w:tplc="1E0AE3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7C366C79"/>
    <w:multiLevelType w:val="multilevel"/>
    <w:tmpl w:val="DA6AABF2"/>
    <w:lvl w:ilvl="0">
      <w:start w:val="1"/>
      <w:numFmt w:val="lowerLetter"/>
      <w:lvlText w:val="%1."/>
      <w:lvlJc w:val="left"/>
      <w:pPr>
        <w:ind w:left="360" w:hanging="360"/>
      </w:pPr>
      <w:rPr>
        <w:rFonts w:hint="default"/>
        <w:b/>
        <w:bCs/>
        <w:i w:val="0"/>
        <w:iCs w:val="0"/>
      </w:rPr>
    </w:lvl>
    <w:lvl w:ilvl="1">
      <w:start w:val="1"/>
      <w:numFmt w:val="decimal"/>
      <w:isLgl/>
      <w:lvlText w:val="%1.%2"/>
      <w:lvlJc w:val="left"/>
      <w:pPr>
        <w:ind w:left="750" w:hanging="390"/>
      </w:pPr>
      <w:rPr>
        <w:rFonts w:hint="default"/>
        <w:b w:val="0"/>
      </w:rPr>
    </w:lvl>
    <w:lvl w:ilvl="2">
      <w:start w:val="1"/>
      <w:numFmt w:val="lowerRoman"/>
      <w:lvlText w:val="%3."/>
      <w:lvlJc w:val="right"/>
      <w:pPr>
        <w:ind w:left="1440" w:hanging="720"/>
      </w:pPr>
      <w:rPr>
        <w:rFonts w:hint="default"/>
        <w:b w:val="0"/>
        <w:i w:val="0"/>
        <w:iCs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440"/>
      </w:pPr>
      <w:rPr>
        <w:rFonts w:hint="default"/>
        <w:b w:val="0"/>
      </w:rPr>
    </w:lvl>
  </w:abstractNum>
  <w:abstractNum w:abstractNumId="122" w15:restartNumberingAfterBreak="0">
    <w:nsid w:val="7CF34927"/>
    <w:multiLevelType w:val="hybridMultilevel"/>
    <w:tmpl w:val="65AE4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E253843"/>
    <w:multiLevelType w:val="multilevel"/>
    <w:tmpl w:val="9272A080"/>
    <w:lvl w:ilvl="0">
      <w:start w:val="1"/>
      <w:numFmt w:val="decimal"/>
      <w:lvlText w:val="%1."/>
      <w:lvlJc w:val="left"/>
      <w:pPr>
        <w:ind w:left="0" w:firstLine="0"/>
      </w:pPr>
    </w:lvl>
    <w:lvl w:ilvl="1">
      <w:start w:val="1"/>
      <w:numFmt w:val="low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4" w15:restartNumberingAfterBreak="0">
    <w:nsid w:val="7E3F7924"/>
    <w:multiLevelType w:val="hybridMultilevel"/>
    <w:tmpl w:val="6E809150"/>
    <w:lvl w:ilvl="0" w:tplc="B852B94E">
      <w:start w:val="1"/>
      <w:numFmt w:val="decimal"/>
      <w:lvlText w:val="%1."/>
      <w:lvlJc w:val="left"/>
      <w:pPr>
        <w:ind w:left="108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1C18C3"/>
    <w:multiLevelType w:val="multilevel"/>
    <w:tmpl w:val="6BEEE3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15:restartNumberingAfterBreak="0">
    <w:nsid w:val="7F1F0985"/>
    <w:multiLevelType w:val="hybridMultilevel"/>
    <w:tmpl w:val="D02A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F855A84"/>
    <w:multiLevelType w:val="hybridMultilevel"/>
    <w:tmpl w:val="92A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524760">
    <w:abstractNumId w:val="49"/>
  </w:num>
  <w:num w:numId="2" w16cid:durableId="1892380639">
    <w:abstractNumId w:val="95"/>
  </w:num>
  <w:num w:numId="3" w16cid:durableId="879783112">
    <w:abstractNumId w:val="117"/>
  </w:num>
  <w:num w:numId="4" w16cid:durableId="1578635292">
    <w:abstractNumId w:val="97"/>
  </w:num>
  <w:num w:numId="5" w16cid:durableId="1155411538">
    <w:abstractNumId w:val="31"/>
  </w:num>
  <w:num w:numId="6" w16cid:durableId="335963638">
    <w:abstractNumId w:val="10"/>
  </w:num>
  <w:num w:numId="7" w16cid:durableId="99644056">
    <w:abstractNumId w:val="64"/>
  </w:num>
  <w:num w:numId="8" w16cid:durableId="774129900">
    <w:abstractNumId w:val="20"/>
  </w:num>
  <w:num w:numId="9" w16cid:durableId="279148463">
    <w:abstractNumId w:val="107"/>
  </w:num>
  <w:num w:numId="10" w16cid:durableId="1372143555">
    <w:abstractNumId w:val="86"/>
  </w:num>
  <w:num w:numId="11" w16cid:durableId="432553538">
    <w:abstractNumId w:val="41"/>
  </w:num>
  <w:num w:numId="12" w16cid:durableId="23336665">
    <w:abstractNumId w:val="111"/>
  </w:num>
  <w:num w:numId="13" w16cid:durableId="1619336522">
    <w:abstractNumId w:val="68"/>
  </w:num>
  <w:num w:numId="14" w16cid:durableId="1418942099">
    <w:abstractNumId w:val="54"/>
  </w:num>
  <w:num w:numId="15" w16cid:durableId="546452643">
    <w:abstractNumId w:val="124"/>
  </w:num>
  <w:num w:numId="16" w16cid:durableId="463275069">
    <w:abstractNumId w:val="26"/>
  </w:num>
  <w:num w:numId="17" w16cid:durableId="1733917606">
    <w:abstractNumId w:val="14"/>
  </w:num>
  <w:num w:numId="18" w16cid:durableId="1459183481">
    <w:abstractNumId w:val="119"/>
  </w:num>
  <w:num w:numId="19" w16cid:durableId="1296368785">
    <w:abstractNumId w:val="108"/>
  </w:num>
  <w:num w:numId="20" w16cid:durableId="1008825632">
    <w:abstractNumId w:val="127"/>
  </w:num>
  <w:num w:numId="21" w16cid:durableId="1779445798">
    <w:abstractNumId w:val="70"/>
  </w:num>
  <w:num w:numId="22" w16cid:durableId="689452332">
    <w:abstractNumId w:val="6"/>
  </w:num>
  <w:num w:numId="23" w16cid:durableId="483664203">
    <w:abstractNumId w:val="45"/>
  </w:num>
  <w:num w:numId="24" w16cid:durableId="891962214">
    <w:abstractNumId w:val="1"/>
  </w:num>
  <w:num w:numId="25" w16cid:durableId="645430454">
    <w:abstractNumId w:val="60"/>
  </w:num>
  <w:num w:numId="26" w16cid:durableId="1709376494">
    <w:abstractNumId w:val="40"/>
  </w:num>
  <w:num w:numId="27" w16cid:durableId="360982650">
    <w:abstractNumId w:val="43"/>
  </w:num>
  <w:num w:numId="28" w16cid:durableId="457602385">
    <w:abstractNumId w:val="59"/>
  </w:num>
  <w:num w:numId="29" w16cid:durableId="581842835">
    <w:abstractNumId w:val="38"/>
  </w:num>
  <w:num w:numId="30" w16cid:durableId="213548736">
    <w:abstractNumId w:val="99"/>
  </w:num>
  <w:num w:numId="31" w16cid:durableId="937636644">
    <w:abstractNumId w:val="28"/>
  </w:num>
  <w:num w:numId="32" w16cid:durableId="1385716283">
    <w:abstractNumId w:val="19"/>
  </w:num>
  <w:num w:numId="33" w16cid:durableId="1015423998">
    <w:abstractNumId w:val="9"/>
  </w:num>
  <w:num w:numId="34" w16cid:durableId="1477642466">
    <w:abstractNumId w:val="33"/>
  </w:num>
  <w:num w:numId="35" w16cid:durableId="944775127">
    <w:abstractNumId w:val="71"/>
  </w:num>
  <w:num w:numId="36" w16cid:durableId="1639720691">
    <w:abstractNumId w:val="88"/>
  </w:num>
  <w:num w:numId="37" w16cid:durableId="1924873816">
    <w:abstractNumId w:val="89"/>
  </w:num>
  <w:num w:numId="38" w16cid:durableId="472721816">
    <w:abstractNumId w:val="79"/>
  </w:num>
  <w:num w:numId="39" w16cid:durableId="133763108">
    <w:abstractNumId w:val="90"/>
  </w:num>
  <w:num w:numId="40" w16cid:durableId="754011918">
    <w:abstractNumId w:val="47"/>
  </w:num>
  <w:num w:numId="41" w16cid:durableId="325592499">
    <w:abstractNumId w:val="94"/>
  </w:num>
  <w:num w:numId="42" w16cid:durableId="1950966800">
    <w:abstractNumId w:val="83"/>
  </w:num>
  <w:num w:numId="43" w16cid:durableId="550917941">
    <w:abstractNumId w:val="82"/>
  </w:num>
  <w:num w:numId="44" w16cid:durableId="1079714441">
    <w:abstractNumId w:val="77"/>
  </w:num>
  <w:num w:numId="45" w16cid:durableId="94254277">
    <w:abstractNumId w:val="5"/>
  </w:num>
  <w:num w:numId="46" w16cid:durableId="1242176347">
    <w:abstractNumId w:val="102"/>
  </w:num>
  <w:num w:numId="47" w16cid:durableId="2068145713">
    <w:abstractNumId w:val="37"/>
  </w:num>
  <w:num w:numId="48" w16cid:durableId="2132702506">
    <w:abstractNumId w:val="16"/>
  </w:num>
  <w:num w:numId="49" w16cid:durableId="668677958">
    <w:abstractNumId w:val="39"/>
  </w:num>
  <w:num w:numId="50" w16cid:durableId="756250714">
    <w:abstractNumId w:val="62"/>
  </w:num>
  <w:num w:numId="51" w16cid:durableId="1779907096">
    <w:abstractNumId w:val="2"/>
  </w:num>
  <w:num w:numId="52" w16cid:durableId="1165364882">
    <w:abstractNumId w:val="8"/>
  </w:num>
  <w:num w:numId="53" w16cid:durableId="567762018">
    <w:abstractNumId w:val="69"/>
  </w:num>
  <w:num w:numId="54" w16cid:durableId="1797135840">
    <w:abstractNumId w:val="29"/>
  </w:num>
  <w:num w:numId="55" w16cid:durableId="1916895027">
    <w:abstractNumId w:val="30"/>
  </w:num>
  <w:num w:numId="56" w16cid:durableId="1131708286">
    <w:abstractNumId w:val="65"/>
  </w:num>
  <w:num w:numId="57" w16cid:durableId="739403788">
    <w:abstractNumId w:val="21"/>
  </w:num>
  <w:num w:numId="58" w16cid:durableId="776174076">
    <w:abstractNumId w:val="113"/>
  </w:num>
  <w:num w:numId="59" w16cid:durableId="1474640363">
    <w:abstractNumId w:val="17"/>
  </w:num>
  <w:num w:numId="60" w16cid:durableId="694691681">
    <w:abstractNumId w:val="109"/>
  </w:num>
  <w:num w:numId="61" w16cid:durableId="1390421331">
    <w:abstractNumId w:val="76"/>
  </w:num>
  <w:num w:numId="62" w16cid:durableId="1352226573">
    <w:abstractNumId w:val="87"/>
  </w:num>
  <w:num w:numId="63" w16cid:durableId="1264339192">
    <w:abstractNumId w:val="66"/>
  </w:num>
  <w:num w:numId="64" w16cid:durableId="1400471215">
    <w:abstractNumId w:val="106"/>
  </w:num>
  <w:num w:numId="65" w16cid:durableId="790514242">
    <w:abstractNumId w:val="23"/>
  </w:num>
  <w:num w:numId="66" w16cid:durableId="525603627">
    <w:abstractNumId w:val="78"/>
  </w:num>
  <w:num w:numId="67" w16cid:durableId="1384253789">
    <w:abstractNumId w:val="32"/>
  </w:num>
  <w:num w:numId="68" w16cid:durableId="1515457772">
    <w:abstractNumId w:val="110"/>
  </w:num>
  <w:num w:numId="69" w16cid:durableId="1119489101">
    <w:abstractNumId w:val="120"/>
  </w:num>
  <w:num w:numId="70" w16cid:durableId="948971582">
    <w:abstractNumId w:val="105"/>
  </w:num>
  <w:num w:numId="71" w16cid:durableId="244728262">
    <w:abstractNumId w:val="22"/>
  </w:num>
  <w:num w:numId="72" w16cid:durableId="1683509893">
    <w:abstractNumId w:val="63"/>
  </w:num>
  <w:num w:numId="73" w16cid:durableId="1679845928">
    <w:abstractNumId w:val="25"/>
  </w:num>
  <w:num w:numId="74" w16cid:durableId="1914194049">
    <w:abstractNumId w:val="53"/>
  </w:num>
  <w:num w:numId="75" w16cid:durableId="1920672963">
    <w:abstractNumId w:val="84"/>
  </w:num>
  <w:num w:numId="76" w16cid:durableId="2079404133">
    <w:abstractNumId w:val="35"/>
  </w:num>
  <w:num w:numId="77" w16cid:durableId="1866751672">
    <w:abstractNumId w:val="58"/>
  </w:num>
  <w:num w:numId="78" w16cid:durableId="1009327660">
    <w:abstractNumId w:val="115"/>
  </w:num>
  <w:num w:numId="79" w16cid:durableId="1077357639">
    <w:abstractNumId w:val="42"/>
  </w:num>
  <w:num w:numId="80" w16cid:durableId="1033727120">
    <w:abstractNumId w:val="123"/>
  </w:num>
  <w:num w:numId="81" w16cid:durableId="709692638">
    <w:abstractNumId w:val="96"/>
  </w:num>
  <w:num w:numId="82" w16cid:durableId="560018703">
    <w:abstractNumId w:val="12"/>
  </w:num>
  <w:num w:numId="83" w16cid:durableId="1432972782">
    <w:abstractNumId w:val="7"/>
  </w:num>
  <w:num w:numId="84" w16cid:durableId="1247497416">
    <w:abstractNumId w:val="92"/>
  </w:num>
  <w:num w:numId="85" w16cid:durableId="1779058258">
    <w:abstractNumId w:val="13"/>
  </w:num>
  <w:num w:numId="86" w16cid:durableId="1129394591">
    <w:abstractNumId w:val="18"/>
  </w:num>
  <w:num w:numId="87" w16cid:durableId="1228686252">
    <w:abstractNumId w:val="74"/>
  </w:num>
  <w:num w:numId="88" w16cid:durableId="523712615">
    <w:abstractNumId w:val="112"/>
  </w:num>
  <w:num w:numId="89" w16cid:durableId="741219836">
    <w:abstractNumId w:val="75"/>
  </w:num>
  <w:num w:numId="90" w16cid:durableId="1446850502">
    <w:abstractNumId w:val="3"/>
  </w:num>
  <w:num w:numId="91" w16cid:durableId="327026962">
    <w:abstractNumId w:val="24"/>
  </w:num>
  <w:num w:numId="92" w16cid:durableId="1376469403">
    <w:abstractNumId w:val="126"/>
  </w:num>
  <w:num w:numId="93" w16cid:durableId="874780384">
    <w:abstractNumId w:val="67"/>
  </w:num>
  <w:num w:numId="94" w16cid:durableId="1646427015">
    <w:abstractNumId w:val="48"/>
  </w:num>
  <w:num w:numId="95" w16cid:durableId="1039015371">
    <w:abstractNumId w:val="98"/>
  </w:num>
  <w:num w:numId="96" w16cid:durableId="313998634">
    <w:abstractNumId w:val="34"/>
  </w:num>
  <w:num w:numId="97" w16cid:durableId="345251108">
    <w:abstractNumId w:val="56"/>
  </w:num>
  <w:num w:numId="98" w16cid:durableId="589434605">
    <w:abstractNumId w:val="52"/>
  </w:num>
  <w:num w:numId="99" w16cid:durableId="912550126">
    <w:abstractNumId w:val="81"/>
  </w:num>
  <w:num w:numId="100" w16cid:durableId="1887637735">
    <w:abstractNumId w:val="57"/>
  </w:num>
  <w:num w:numId="101" w16cid:durableId="594170704">
    <w:abstractNumId w:val="72"/>
  </w:num>
  <w:num w:numId="102" w16cid:durableId="1189611603">
    <w:abstractNumId w:val="61"/>
  </w:num>
  <w:num w:numId="103" w16cid:durableId="31468611">
    <w:abstractNumId w:val="100"/>
  </w:num>
  <w:num w:numId="104" w16cid:durableId="202443539">
    <w:abstractNumId w:val="73"/>
  </w:num>
  <w:num w:numId="105" w16cid:durableId="590742512">
    <w:abstractNumId w:val="122"/>
  </w:num>
  <w:num w:numId="106" w16cid:durableId="1705785878">
    <w:abstractNumId w:val="116"/>
  </w:num>
  <w:num w:numId="107" w16cid:durableId="1828591345">
    <w:abstractNumId w:val="104"/>
  </w:num>
  <w:num w:numId="108" w16cid:durableId="1341850492">
    <w:abstractNumId w:val="114"/>
  </w:num>
  <w:num w:numId="109" w16cid:durableId="689262475">
    <w:abstractNumId w:val="36"/>
  </w:num>
  <w:num w:numId="110" w16cid:durableId="442848831">
    <w:abstractNumId w:val="101"/>
  </w:num>
  <w:num w:numId="111" w16cid:durableId="1187013744">
    <w:abstractNumId w:val="55"/>
  </w:num>
  <w:num w:numId="112" w16cid:durableId="1937402714">
    <w:abstractNumId w:val="85"/>
  </w:num>
  <w:num w:numId="113" w16cid:durableId="209153202">
    <w:abstractNumId w:val="121"/>
  </w:num>
  <w:num w:numId="114" w16cid:durableId="788932261">
    <w:abstractNumId w:val="46"/>
  </w:num>
  <w:num w:numId="115" w16cid:durableId="1800151237">
    <w:abstractNumId w:val="27"/>
  </w:num>
  <w:num w:numId="116" w16cid:durableId="924385817">
    <w:abstractNumId w:val="44"/>
  </w:num>
  <w:num w:numId="117" w16cid:durableId="1226648280">
    <w:abstractNumId w:val="125"/>
  </w:num>
  <w:num w:numId="118" w16cid:durableId="1838617108">
    <w:abstractNumId w:val="80"/>
  </w:num>
  <w:num w:numId="119" w16cid:durableId="352532356">
    <w:abstractNumId w:val="103"/>
  </w:num>
  <w:num w:numId="120" w16cid:durableId="2043288758">
    <w:abstractNumId w:val="93"/>
  </w:num>
  <w:num w:numId="121" w16cid:durableId="2046639432">
    <w:abstractNumId w:val="50"/>
  </w:num>
  <w:num w:numId="122" w16cid:durableId="1544753091">
    <w:abstractNumId w:val="91"/>
  </w:num>
  <w:num w:numId="123" w16cid:durableId="528027273">
    <w:abstractNumId w:val="97"/>
  </w:num>
  <w:num w:numId="124" w16cid:durableId="181356057">
    <w:abstractNumId w:val="51"/>
  </w:num>
  <w:num w:numId="125" w16cid:durableId="37122623">
    <w:abstractNumId w:val="118"/>
  </w:num>
  <w:num w:numId="126" w16cid:durableId="1437872324">
    <w:abstractNumId w:val="4"/>
  </w:num>
  <w:num w:numId="127" w16cid:durableId="253055060">
    <w:abstractNumId w:val="0"/>
  </w:num>
  <w:num w:numId="128" w16cid:durableId="231623981">
    <w:abstractNumId w:val="11"/>
  </w:num>
  <w:num w:numId="129" w16cid:durableId="1977832152">
    <w:abstractNumId w:val="1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26"/>
    <w:rsid w:val="000002DC"/>
    <w:rsid w:val="00000FAA"/>
    <w:rsid w:val="00000FC0"/>
    <w:rsid w:val="00001246"/>
    <w:rsid w:val="00001358"/>
    <w:rsid w:val="000021DD"/>
    <w:rsid w:val="000024DF"/>
    <w:rsid w:val="0000255D"/>
    <w:rsid w:val="00002EB1"/>
    <w:rsid w:val="0000301F"/>
    <w:rsid w:val="00003922"/>
    <w:rsid w:val="00003D14"/>
    <w:rsid w:val="00003E9C"/>
    <w:rsid w:val="00003EB1"/>
    <w:rsid w:val="000047B2"/>
    <w:rsid w:val="00004F94"/>
    <w:rsid w:val="00005BE0"/>
    <w:rsid w:val="00005C26"/>
    <w:rsid w:val="00005F1B"/>
    <w:rsid w:val="000060B7"/>
    <w:rsid w:val="00006414"/>
    <w:rsid w:val="0000653D"/>
    <w:rsid w:val="0000688C"/>
    <w:rsid w:val="00006FC8"/>
    <w:rsid w:val="000071A2"/>
    <w:rsid w:val="00007904"/>
    <w:rsid w:val="00007A8E"/>
    <w:rsid w:val="00007DC3"/>
    <w:rsid w:val="00007DFA"/>
    <w:rsid w:val="00010A4B"/>
    <w:rsid w:val="00010BAA"/>
    <w:rsid w:val="00011164"/>
    <w:rsid w:val="00011440"/>
    <w:rsid w:val="00011B4D"/>
    <w:rsid w:val="00011DE7"/>
    <w:rsid w:val="00012A8B"/>
    <w:rsid w:val="0001305C"/>
    <w:rsid w:val="00013397"/>
    <w:rsid w:val="00013474"/>
    <w:rsid w:val="00013BD6"/>
    <w:rsid w:val="00014890"/>
    <w:rsid w:val="00015071"/>
    <w:rsid w:val="00015C3B"/>
    <w:rsid w:val="0001610F"/>
    <w:rsid w:val="00016B1F"/>
    <w:rsid w:val="00016CFB"/>
    <w:rsid w:val="000178E9"/>
    <w:rsid w:val="00017FB7"/>
    <w:rsid w:val="000209C8"/>
    <w:rsid w:val="00021746"/>
    <w:rsid w:val="00021A08"/>
    <w:rsid w:val="00021A7F"/>
    <w:rsid w:val="000220B0"/>
    <w:rsid w:val="00022170"/>
    <w:rsid w:val="0002235F"/>
    <w:rsid w:val="00022444"/>
    <w:rsid w:val="00022990"/>
    <w:rsid w:val="00022C94"/>
    <w:rsid w:val="00023204"/>
    <w:rsid w:val="0002340A"/>
    <w:rsid w:val="000243CD"/>
    <w:rsid w:val="000244E0"/>
    <w:rsid w:val="00024CBC"/>
    <w:rsid w:val="00024DF3"/>
    <w:rsid w:val="00026E00"/>
    <w:rsid w:val="00027100"/>
    <w:rsid w:val="00027C7E"/>
    <w:rsid w:val="000304B0"/>
    <w:rsid w:val="00030865"/>
    <w:rsid w:val="00030ACD"/>
    <w:rsid w:val="00030B09"/>
    <w:rsid w:val="00030B71"/>
    <w:rsid w:val="00030E98"/>
    <w:rsid w:val="00031179"/>
    <w:rsid w:val="00031C37"/>
    <w:rsid w:val="00031E77"/>
    <w:rsid w:val="00032ADB"/>
    <w:rsid w:val="00032F20"/>
    <w:rsid w:val="0003379A"/>
    <w:rsid w:val="00033CD1"/>
    <w:rsid w:val="0003475A"/>
    <w:rsid w:val="00035249"/>
    <w:rsid w:val="0003640F"/>
    <w:rsid w:val="00036D9A"/>
    <w:rsid w:val="00036ECA"/>
    <w:rsid w:val="00036EE4"/>
    <w:rsid w:val="0003728A"/>
    <w:rsid w:val="00037A6B"/>
    <w:rsid w:val="00037E17"/>
    <w:rsid w:val="000425AA"/>
    <w:rsid w:val="00042F2A"/>
    <w:rsid w:val="00042F35"/>
    <w:rsid w:val="00043227"/>
    <w:rsid w:val="000433FE"/>
    <w:rsid w:val="000434AB"/>
    <w:rsid w:val="00043F27"/>
    <w:rsid w:val="00044093"/>
    <w:rsid w:val="00044822"/>
    <w:rsid w:val="00044FEC"/>
    <w:rsid w:val="00045981"/>
    <w:rsid w:val="00045F08"/>
    <w:rsid w:val="0004779C"/>
    <w:rsid w:val="00047E9D"/>
    <w:rsid w:val="00050143"/>
    <w:rsid w:val="00050A0E"/>
    <w:rsid w:val="00050C84"/>
    <w:rsid w:val="00050E99"/>
    <w:rsid w:val="00051CCF"/>
    <w:rsid w:val="000522AA"/>
    <w:rsid w:val="0005430D"/>
    <w:rsid w:val="0005476C"/>
    <w:rsid w:val="00054AA1"/>
    <w:rsid w:val="00054CF2"/>
    <w:rsid w:val="00055477"/>
    <w:rsid w:val="00055E92"/>
    <w:rsid w:val="000565DF"/>
    <w:rsid w:val="0005684B"/>
    <w:rsid w:val="00056BF8"/>
    <w:rsid w:val="0005707D"/>
    <w:rsid w:val="0006069E"/>
    <w:rsid w:val="00060985"/>
    <w:rsid w:val="00061A03"/>
    <w:rsid w:val="00061A63"/>
    <w:rsid w:val="00061D19"/>
    <w:rsid w:val="00061DB2"/>
    <w:rsid w:val="000620DF"/>
    <w:rsid w:val="0006329F"/>
    <w:rsid w:val="000635E9"/>
    <w:rsid w:val="000639F6"/>
    <w:rsid w:val="00063D8F"/>
    <w:rsid w:val="00063ECB"/>
    <w:rsid w:val="00064226"/>
    <w:rsid w:val="000642ED"/>
    <w:rsid w:val="00064EEB"/>
    <w:rsid w:val="00065288"/>
    <w:rsid w:val="000652B3"/>
    <w:rsid w:val="00065890"/>
    <w:rsid w:val="00065D90"/>
    <w:rsid w:val="00066146"/>
    <w:rsid w:val="00066D6E"/>
    <w:rsid w:val="00066E6B"/>
    <w:rsid w:val="000674FA"/>
    <w:rsid w:val="00070EEE"/>
    <w:rsid w:val="00070EF6"/>
    <w:rsid w:val="000710A6"/>
    <w:rsid w:val="00071178"/>
    <w:rsid w:val="00072849"/>
    <w:rsid w:val="00072BC1"/>
    <w:rsid w:val="0007358B"/>
    <w:rsid w:val="00073CFB"/>
    <w:rsid w:val="00073D21"/>
    <w:rsid w:val="00074164"/>
    <w:rsid w:val="00074EDC"/>
    <w:rsid w:val="000753B5"/>
    <w:rsid w:val="00075B54"/>
    <w:rsid w:val="00076044"/>
    <w:rsid w:val="000766C1"/>
    <w:rsid w:val="000768B1"/>
    <w:rsid w:val="00076EAF"/>
    <w:rsid w:val="000775EB"/>
    <w:rsid w:val="00077F1C"/>
    <w:rsid w:val="00080926"/>
    <w:rsid w:val="000810FE"/>
    <w:rsid w:val="000816E5"/>
    <w:rsid w:val="0008170F"/>
    <w:rsid w:val="00081BC2"/>
    <w:rsid w:val="00081C58"/>
    <w:rsid w:val="00081CA4"/>
    <w:rsid w:val="00081ECE"/>
    <w:rsid w:val="000827C0"/>
    <w:rsid w:val="00082B64"/>
    <w:rsid w:val="00082CB0"/>
    <w:rsid w:val="00082DFD"/>
    <w:rsid w:val="00082F65"/>
    <w:rsid w:val="0008301B"/>
    <w:rsid w:val="0008333B"/>
    <w:rsid w:val="00083C64"/>
    <w:rsid w:val="00083E5D"/>
    <w:rsid w:val="00083FAB"/>
    <w:rsid w:val="0008420C"/>
    <w:rsid w:val="00084F85"/>
    <w:rsid w:val="00085177"/>
    <w:rsid w:val="000852D7"/>
    <w:rsid w:val="00085491"/>
    <w:rsid w:val="00085B8A"/>
    <w:rsid w:val="00085D07"/>
    <w:rsid w:val="00085D37"/>
    <w:rsid w:val="00085EB5"/>
    <w:rsid w:val="0008643A"/>
    <w:rsid w:val="00086C95"/>
    <w:rsid w:val="00086E2A"/>
    <w:rsid w:val="0008701C"/>
    <w:rsid w:val="00087883"/>
    <w:rsid w:val="00087FF3"/>
    <w:rsid w:val="00090593"/>
    <w:rsid w:val="000907DC"/>
    <w:rsid w:val="00090CB7"/>
    <w:rsid w:val="00090F21"/>
    <w:rsid w:val="00091BE5"/>
    <w:rsid w:val="00091F1A"/>
    <w:rsid w:val="00092152"/>
    <w:rsid w:val="00092425"/>
    <w:rsid w:val="000928FC"/>
    <w:rsid w:val="0009321E"/>
    <w:rsid w:val="00093465"/>
    <w:rsid w:val="00093FDF"/>
    <w:rsid w:val="00093FE5"/>
    <w:rsid w:val="00093FEF"/>
    <w:rsid w:val="0009406E"/>
    <w:rsid w:val="000945CE"/>
    <w:rsid w:val="00095058"/>
    <w:rsid w:val="00095415"/>
    <w:rsid w:val="0009599F"/>
    <w:rsid w:val="00095FF5"/>
    <w:rsid w:val="0009651D"/>
    <w:rsid w:val="000965D5"/>
    <w:rsid w:val="00096DA5"/>
    <w:rsid w:val="000A019E"/>
    <w:rsid w:val="000A0733"/>
    <w:rsid w:val="000A0A14"/>
    <w:rsid w:val="000A0C8A"/>
    <w:rsid w:val="000A1690"/>
    <w:rsid w:val="000A2877"/>
    <w:rsid w:val="000A311D"/>
    <w:rsid w:val="000A3154"/>
    <w:rsid w:val="000A33C6"/>
    <w:rsid w:val="000A3457"/>
    <w:rsid w:val="000A3878"/>
    <w:rsid w:val="000A3BA1"/>
    <w:rsid w:val="000A3BD6"/>
    <w:rsid w:val="000A3D39"/>
    <w:rsid w:val="000A3EB6"/>
    <w:rsid w:val="000A4A0D"/>
    <w:rsid w:val="000A4CED"/>
    <w:rsid w:val="000A4DFD"/>
    <w:rsid w:val="000A547B"/>
    <w:rsid w:val="000A56B4"/>
    <w:rsid w:val="000A5C33"/>
    <w:rsid w:val="000A6256"/>
    <w:rsid w:val="000A6588"/>
    <w:rsid w:val="000A6945"/>
    <w:rsid w:val="000A7329"/>
    <w:rsid w:val="000A7B54"/>
    <w:rsid w:val="000A7CEA"/>
    <w:rsid w:val="000A7E50"/>
    <w:rsid w:val="000A7F0D"/>
    <w:rsid w:val="000B053E"/>
    <w:rsid w:val="000B0644"/>
    <w:rsid w:val="000B0DB0"/>
    <w:rsid w:val="000B163E"/>
    <w:rsid w:val="000B18A6"/>
    <w:rsid w:val="000B1CB6"/>
    <w:rsid w:val="000B1F4B"/>
    <w:rsid w:val="000B2115"/>
    <w:rsid w:val="000B2195"/>
    <w:rsid w:val="000B287E"/>
    <w:rsid w:val="000B2A50"/>
    <w:rsid w:val="000B2F81"/>
    <w:rsid w:val="000B397E"/>
    <w:rsid w:val="000B3C45"/>
    <w:rsid w:val="000B3FB7"/>
    <w:rsid w:val="000B40FF"/>
    <w:rsid w:val="000B4226"/>
    <w:rsid w:val="000B47DF"/>
    <w:rsid w:val="000B489F"/>
    <w:rsid w:val="000B4983"/>
    <w:rsid w:val="000B52AA"/>
    <w:rsid w:val="000B59EB"/>
    <w:rsid w:val="000B5C73"/>
    <w:rsid w:val="000B65A4"/>
    <w:rsid w:val="000B6B14"/>
    <w:rsid w:val="000B7892"/>
    <w:rsid w:val="000B7B3D"/>
    <w:rsid w:val="000B7D16"/>
    <w:rsid w:val="000C06BD"/>
    <w:rsid w:val="000C1E23"/>
    <w:rsid w:val="000C2E9C"/>
    <w:rsid w:val="000C30C9"/>
    <w:rsid w:val="000C3178"/>
    <w:rsid w:val="000C35BE"/>
    <w:rsid w:val="000C3A0F"/>
    <w:rsid w:val="000C3C78"/>
    <w:rsid w:val="000C3C8F"/>
    <w:rsid w:val="000C44BA"/>
    <w:rsid w:val="000C493B"/>
    <w:rsid w:val="000C4985"/>
    <w:rsid w:val="000C5524"/>
    <w:rsid w:val="000C5970"/>
    <w:rsid w:val="000C5F91"/>
    <w:rsid w:val="000C709F"/>
    <w:rsid w:val="000C70CB"/>
    <w:rsid w:val="000C74A1"/>
    <w:rsid w:val="000C7A01"/>
    <w:rsid w:val="000C7D2F"/>
    <w:rsid w:val="000D145E"/>
    <w:rsid w:val="000D1CC3"/>
    <w:rsid w:val="000D27AD"/>
    <w:rsid w:val="000D2CE5"/>
    <w:rsid w:val="000D2FE6"/>
    <w:rsid w:val="000D3017"/>
    <w:rsid w:val="000D3A8D"/>
    <w:rsid w:val="000D3C88"/>
    <w:rsid w:val="000D3E8D"/>
    <w:rsid w:val="000D4087"/>
    <w:rsid w:val="000D45FC"/>
    <w:rsid w:val="000D546A"/>
    <w:rsid w:val="000D574C"/>
    <w:rsid w:val="000D581A"/>
    <w:rsid w:val="000D5E11"/>
    <w:rsid w:val="000D656E"/>
    <w:rsid w:val="000D7054"/>
    <w:rsid w:val="000D7861"/>
    <w:rsid w:val="000D7BCA"/>
    <w:rsid w:val="000D7E7B"/>
    <w:rsid w:val="000E0706"/>
    <w:rsid w:val="000E0C4B"/>
    <w:rsid w:val="000E19A9"/>
    <w:rsid w:val="000E1B22"/>
    <w:rsid w:val="000E1EB7"/>
    <w:rsid w:val="000E2538"/>
    <w:rsid w:val="000E2C94"/>
    <w:rsid w:val="000E3544"/>
    <w:rsid w:val="000E3900"/>
    <w:rsid w:val="000E3CA9"/>
    <w:rsid w:val="000E522B"/>
    <w:rsid w:val="000E5271"/>
    <w:rsid w:val="000E606D"/>
    <w:rsid w:val="000E6782"/>
    <w:rsid w:val="000E738E"/>
    <w:rsid w:val="000E7CB3"/>
    <w:rsid w:val="000F0D18"/>
    <w:rsid w:val="000F0E54"/>
    <w:rsid w:val="000F1840"/>
    <w:rsid w:val="000F213C"/>
    <w:rsid w:val="000F2433"/>
    <w:rsid w:val="000F2CB0"/>
    <w:rsid w:val="000F3000"/>
    <w:rsid w:val="000F363E"/>
    <w:rsid w:val="000F37A2"/>
    <w:rsid w:val="000F3FAC"/>
    <w:rsid w:val="000F4178"/>
    <w:rsid w:val="000F447B"/>
    <w:rsid w:val="000F448B"/>
    <w:rsid w:val="000F46FF"/>
    <w:rsid w:val="000F4826"/>
    <w:rsid w:val="000F48F9"/>
    <w:rsid w:val="000F4E4C"/>
    <w:rsid w:val="000F527E"/>
    <w:rsid w:val="000F56C4"/>
    <w:rsid w:val="000F5C17"/>
    <w:rsid w:val="000F5EE7"/>
    <w:rsid w:val="000F64E4"/>
    <w:rsid w:val="000F6B37"/>
    <w:rsid w:val="000F7084"/>
    <w:rsid w:val="000F71CF"/>
    <w:rsid w:val="000F73E2"/>
    <w:rsid w:val="000F778D"/>
    <w:rsid w:val="000F77B6"/>
    <w:rsid w:val="000F7F13"/>
    <w:rsid w:val="001004D1"/>
    <w:rsid w:val="00101402"/>
    <w:rsid w:val="00101A6F"/>
    <w:rsid w:val="00101E08"/>
    <w:rsid w:val="00102277"/>
    <w:rsid w:val="001023EE"/>
    <w:rsid w:val="001026E7"/>
    <w:rsid w:val="00103529"/>
    <w:rsid w:val="00103D1B"/>
    <w:rsid w:val="00104105"/>
    <w:rsid w:val="00104659"/>
    <w:rsid w:val="001048FF"/>
    <w:rsid w:val="00104B1F"/>
    <w:rsid w:val="00104D3A"/>
    <w:rsid w:val="00104E05"/>
    <w:rsid w:val="0010570D"/>
    <w:rsid w:val="00105A02"/>
    <w:rsid w:val="00105A79"/>
    <w:rsid w:val="001061DC"/>
    <w:rsid w:val="001063DF"/>
    <w:rsid w:val="001067BF"/>
    <w:rsid w:val="00106842"/>
    <w:rsid w:val="00107564"/>
    <w:rsid w:val="00107C22"/>
    <w:rsid w:val="0011010E"/>
    <w:rsid w:val="001103CC"/>
    <w:rsid w:val="001106D5"/>
    <w:rsid w:val="001108FA"/>
    <w:rsid w:val="00110A6D"/>
    <w:rsid w:val="001112F1"/>
    <w:rsid w:val="00111DA6"/>
    <w:rsid w:val="00112097"/>
    <w:rsid w:val="00112148"/>
    <w:rsid w:val="0011319C"/>
    <w:rsid w:val="00113521"/>
    <w:rsid w:val="00113BB3"/>
    <w:rsid w:val="00113E8B"/>
    <w:rsid w:val="0011486A"/>
    <w:rsid w:val="001152F0"/>
    <w:rsid w:val="001153A5"/>
    <w:rsid w:val="00115846"/>
    <w:rsid w:val="00115865"/>
    <w:rsid w:val="0011620E"/>
    <w:rsid w:val="001167EA"/>
    <w:rsid w:val="00116858"/>
    <w:rsid w:val="00116AAE"/>
    <w:rsid w:val="00116F93"/>
    <w:rsid w:val="001171C2"/>
    <w:rsid w:val="001174B8"/>
    <w:rsid w:val="001177ED"/>
    <w:rsid w:val="00117AF5"/>
    <w:rsid w:val="00117BC2"/>
    <w:rsid w:val="00117DA7"/>
    <w:rsid w:val="00120100"/>
    <w:rsid w:val="0012015A"/>
    <w:rsid w:val="00120A3F"/>
    <w:rsid w:val="00120AFC"/>
    <w:rsid w:val="00120D59"/>
    <w:rsid w:val="001212CB"/>
    <w:rsid w:val="00121495"/>
    <w:rsid w:val="0012169C"/>
    <w:rsid w:val="00121A83"/>
    <w:rsid w:val="00121C28"/>
    <w:rsid w:val="00121C58"/>
    <w:rsid w:val="00122031"/>
    <w:rsid w:val="00122240"/>
    <w:rsid w:val="0012249A"/>
    <w:rsid w:val="001226E1"/>
    <w:rsid w:val="00122B87"/>
    <w:rsid w:val="00123444"/>
    <w:rsid w:val="0012363B"/>
    <w:rsid w:val="001246B0"/>
    <w:rsid w:val="00124C19"/>
    <w:rsid w:val="00125018"/>
    <w:rsid w:val="0012523A"/>
    <w:rsid w:val="0012588E"/>
    <w:rsid w:val="00126109"/>
    <w:rsid w:val="001261AD"/>
    <w:rsid w:val="0012646E"/>
    <w:rsid w:val="00126517"/>
    <w:rsid w:val="00126A60"/>
    <w:rsid w:val="0012708D"/>
    <w:rsid w:val="001272F2"/>
    <w:rsid w:val="001278B0"/>
    <w:rsid w:val="00127A89"/>
    <w:rsid w:val="0013065C"/>
    <w:rsid w:val="001308B5"/>
    <w:rsid w:val="00130915"/>
    <w:rsid w:val="00130C1F"/>
    <w:rsid w:val="00130CE3"/>
    <w:rsid w:val="0013166B"/>
    <w:rsid w:val="001319E5"/>
    <w:rsid w:val="00131C43"/>
    <w:rsid w:val="00131CA6"/>
    <w:rsid w:val="001329B7"/>
    <w:rsid w:val="00132AD6"/>
    <w:rsid w:val="001330F6"/>
    <w:rsid w:val="00134F8F"/>
    <w:rsid w:val="0013526E"/>
    <w:rsid w:val="001359AC"/>
    <w:rsid w:val="00135BF7"/>
    <w:rsid w:val="00135C33"/>
    <w:rsid w:val="0013645E"/>
    <w:rsid w:val="001364E7"/>
    <w:rsid w:val="00136815"/>
    <w:rsid w:val="00136DF7"/>
    <w:rsid w:val="00137B16"/>
    <w:rsid w:val="00137BA1"/>
    <w:rsid w:val="00137C2B"/>
    <w:rsid w:val="00137C65"/>
    <w:rsid w:val="00137DA0"/>
    <w:rsid w:val="0014059C"/>
    <w:rsid w:val="00140691"/>
    <w:rsid w:val="001409E1"/>
    <w:rsid w:val="00140BD9"/>
    <w:rsid w:val="001414FD"/>
    <w:rsid w:val="00141DFC"/>
    <w:rsid w:val="001421E1"/>
    <w:rsid w:val="00142634"/>
    <w:rsid w:val="0014265C"/>
    <w:rsid w:val="001429BC"/>
    <w:rsid w:val="00142E16"/>
    <w:rsid w:val="00142E7D"/>
    <w:rsid w:val="001439C6"/>
    <w:rsid w:val="001447B4"/>
    <w:rsid w:val="00145946"/>
    <w:rsid w:val="00146045"/>
    <w:rsid w:val="0014668D"/>
    <w:rsid w:val="001469C1"/>
    <w:rsid w:val="00146A38"/>
    <w:rsid w:val="00146AFD"/>
    <w:rsid w:val="00146B72"/>
    <w:rsid w:val="00146DCF"/>
    <w:rsid w:val="00147246"/>
    <w:rsid w:val="00147320"/>
    <w:rsid w:val="0014738F"/>
    <w:rsid w:val="001478FD"/>
    <w:rsid w:val="00147C33"/>
    <w:rsid w:val="00147E71"/>
    <w:rsid w:val="00147F31"/>
    <w:rsid w:val="00147FA5"/>
    <w:rsid w:val="001503C3"/>
    <w:rsid w:val="0015043A"/>
    <w:rsid w:val="0015050B"/>
    <w:rsid w:val="00150910"/>
    <w:rsid w:val="00150C7F"/>
    <w:rsid w:val="00151463"/>
    <w:rsid w:val="001517FA"/>
    <w:rsid w:val="0015197E"/>
    <w:rsid w:val="00152B18"/>
    <w:rsid w:val="00153C3C"/>
    <w:rsid w:val="00153DBC"/>
    <w:rsid w:val="001541BF"/>
    <w:rsid w:val="001546E8"/>
    <w:rsid w:val="00154B1F"/>
    <w:rsid w:val="001553C6"/>
    <w:rsid w:val="00155786"/>
    <w:rsid w:val="00155A1B"/>
    <w:rsid w:val="0015658B"/>
    <w:rsid w:val="0015679C"/>
    <w:rsid w:val="0015754A"/>
    <w:rsid w:val="00157563"/>
    <w:rsid w:val="00157BB6"/>
    <w:rsid w:val="00157DDD"/>
    <w:rsid w:val="00160840"/>
    <w:rsid w:val="001618F4"/>
    <w:rsid w:val="001623C3"/>
    <w:rsid w:val="001624CF"/>
    <w:rsid w:val="00163219"/>
    <w:rsid w:val="0016353B"/>
    <w:rsid w:val="001635BC"/>
    <w:rsid w:val="00163E6D"/>
    <w:rsid w:val="0016431D"/>
    <w:rsid w:val="0016467E"/>
    <w:rsid w:val="00165515"/>
    <w:rsid w:val="0016569C"/>
    <w:rsid w:val="00165A6F"/>
    <w:rsid w:val="001667BF"/>
    <w:rsid w:val="00167BC3"/>
    <w:rsid w:val="00170EB8"/>
    <w:rsid w:val="00172788"/>
    <w:rsid w:val="00172822"/>
    <w:rsid w:val="00173784"/>
    <w:rsid w:val="00173F3B"/>
    <w:rsid w:val="00174383"/>
    <w:rsid w:val="00175E42"/>
    <w:rsid w:val="00176496"/>
    <w:rsid w:val="0017691C"/>
    <w:rsid w:val="00176CC2"/>
    <w:rsid w:val="00176F27"/>
    <w:rsid w:val="00177197"/>
    <w:rsid w:val="00177F49"/>
    <w:rsid w:val="001802D1"/>
    <w:rsid w:val="00180E29"/>
    <w:rsid w:val="00180FC5"/>
    <w:rsid w:val="0018211B"/>
    <w:rsid w:val="001830CA"/>
    <w:rsid w:val="00183A2E"/>
    <w:rsid w:val="0018407F"/>
    <w:rsid w:val="00184101"/>
    <w:rsid w:val="00184C24"/>
    <w:rsid w:val="00184CCD"/>
    <w:rsid w:val="001853FB"/>
    <w:rsid w:val="001858A8"/>
    <w:rsid w:val="00185BE3"/>
    <w:rsid w:val="00185D84"/>
    <w:rsid w:val="001865B2"/>
    <w:rsid w:val="00186DAE"/>
    <w:rsid w:val="00186F9C"/>
    <w:rsid w:val="00187022"/>
    <w:rsid w:val="00187816"/>
    <w:rsid w:val="00190375"/>
    <w:rsid w:val="001904BB"/>
    <w:rsid w:val="001907D1"/>
    <w:rsid w:val="00190DA6"/>
    <w:rsid w:val="00190DF9"/>
    <w:rsid w:val="00190F94"/>
    <w:rsid w:val="00191A53"/>
    <w:rsid w:val="00191AB7"/>
    <w:rsid w:val="00192122"/>
    <w:rsid w:val="001921C9"/>
    <w:rsid w:val="00192EF6"/>
    <w:rsid w:val="00192FF2"/>
    <w:rsid w:val="00193137"/>
    <w:rsid w:val="00193322"/>
    <w:rsid w:val="0019359F"/>
    <w:rsid w:val="00193F83"/>
    <w:rsid w:val="00193FFB"/>
    <w:rsid w:val="001941C8"/>
    <w:rsid w:val="001943F2"/>
    <w:rsid w:val="001949E5"/>
    <w:rsid w:val="00194A1E"/>
    <w:rsid w:val="00194C06"/>
    <w:rsid w:val="0019578E"/>
    <w:rsid w:val="00195A1D"/>
    <w:rsid w:val="001962C3"/>
    <w:rsid w:val="00196383"/>
    <w:rsid w:val="00196F21"/>
    <w:rsid w:val="00197E69"/>
    <w:rsid w:val="00197EA1"/>
    <w:rsid w:val="001A0310"/>
    <w:rsid w:val="001A0758"/>
    <w:rsid w:val="001A08CF"/>
    <w:rsid w:val="001A0E68"/>
    <w:rsid w:val="001A102D"/>
    <w:rsid w:val="001A1560"/>
    <w:rsid w:val="001A178B"/>
    <w:rsid w:val="001A1CCF"/>
    <w:rsid w:val="001A29AB"/>
    <w:rsid w:val="001A2F8D"/>
    <w:rsid w:val="001A31D9"/>
    <w:rsid w:val="001A348B"/>
    <w:rsid w:val="001A38E6"/>
    <w:rsid w:val="001A424C"/>
    <w:rsid w:val="001A46E7"/>
    <w:rsid w:val="001A52E5"/>
    <w:rsid w:val="001A55E9"/>
    <w:rsid w:val="001A55F6"/>
    <w:rsid w:val="001A56B7"/>
    <w:rsid w:val="001A5D89"/>
    <w:rsid w:val="001A6136"/>
    <w:rsid w:val="001A6D7A"/>
    <w:rsid w:val="001A7197"/>
    <w:rsid w:val="001A7B5A"/>
    <w:rsid w:val="001B06DF"/>
    <w:rsid w:val="001B0CCF"/>
    <w:rsid w:val="001B0D07"/>
    <w:rsid w:val="001B0D09"/>
    <w:rsid w:val="001B0FFF"/>
    <w:rsid w:val="001B177B"/>
    <w:rsid w:val="001B1916"/>
    <w:rsid w:val="001B19B3"/>
    <w:rsid w:val="001B1BDB"/>
    <w:rsid w:val="001B28CC"/>
    <w:rsid w:val="001B2E54"/>
    <w:rsid w:val="001B359E"/>
    <w:rsid w:val="001B388E"/>
    <w:rsid w:val="001B4B04"/>
    <w:rsid w:val="001B4E3D"/>
    <w:rsid w:val="001B4E4E"/>
    <w:rsid w:val="001B53C9"/>
    <w:rsid w:val="001B5466"/>
    <w:rsid w:val="001B54A8"/>
    <w:rsid w:val="001B5C74"/>
    <w:rsid w:val="001B5D62"/>
    <w:rsid w:val="001B6818"/>
    <w:rsid w:val="001B68DC"/>
    <w:rsid w:val="001B6A7A"/>
    <w:rsid w:val="001B6D56"/>
    <w:rsid w:val="001B6D65"/>
    <w:rsid w:val="001B73C9"/>
    <w:rsid w:val="001B762C"/>
    <w:rsid w:val="001B76B3"/>
    <w:rsid w:val="001C0082"/>
    <w:rsid w:val="001C04CE"/>
    <w:rsid w:val="001C1203"/>
    <w:rsid w:val="001C12B4"/>
    <w:rsid w:val="001C1329"/>
    <w:rsid w:val="001C1407"/>
    <w:rsid w:val="001C15EC"/>
    <w:rsid w:val="001C1889"/>
    <w:rsid w:val="001C21C7"/>
    <w:rsid w:val="001C2335"/>
    <w:rsid w:val="001C2886"/>
    <w:rsid w:val="001C2BED"/>
    <w:rsid w:val="001C347D"/>
    <w:rsid w:val="001C3524"/>
    <w:rsid w:val="001C3679"/>
    <w:rsid w:val="001C36C5"/>
    <w:rsid w:val="001C39BF"/>
    <w:rsid w:val="001C3C70"/>
    <w:rsid w:val="001C3D16"/>
    <w:rsid w:val="001C4F29"/>
    <w:rsid w:val="001C5235"/>
    <w:rsid w:val="001C55D8"/>
    <w:rsid w:val="001C583F"/>
    <w:rsid w:val="001C5AD0"/>
    <w:rsid w:val="001C5C58"/>
    <w:rsid w:val="001C65BC"/>
    <w:rsid w:val="001C7302"/>
    <w:rsid w:val="001C743F"/>
    <w:rsid w:val="001C7779"/>
    <w:rsid w:val="001C78E2"/>
    <w:rsid w:val="001C7C5A"/>
    <w:rsid w:val="001D04A1"/>
    <w:rsid w:val="001D0543"/>
    <w:rsid w:val="001D0A1C"/>
    <w:rsid w:val="001D0F86"/>
    <w:rsid w:val="001D1A65"/>
    <w:rsid w:val="001D1DF2"/>
    <w:rsid w:val="001D287A"/>
    <w:rsid w:val="001D2940"/>
    <w:rsid w:val="001D2FB1"/>
    <w:rsid w:val="001D3620"/>
    <w:rsid w:val="001D3A77"/>
    <w:rsid w:val="001D3BD5"/>
    <w:rsid w:val="001D3D14"/>
    <w:rsid w:val="001D4661"/>
    <w:rsid w:val="001D4ED6"/>
    <w:rsid w:val="001D59E4"/>
    <w:rsid w:val="001D6417"/>
    <w:rsid w:val="001D66F6"/>
    <w:rsid w:val="001D68E9"/>
    <w:rsid w:val="001D6D99"/>
    <w:rsid w:val="001D7282"/>
    <w:rsid w:val="001D7705"/>
    <w:rsid w:val="001D7E22"/>
    <w:rsid w:val="001E04FA"/>
    <w:rsid w:val="001E0CD9"/>
    <w:rsid w:val="001E16C5"/>
    <w:rsid w:val="001E23AC"/>
    <w:rsid w:val="001E2856"/>
    <w:rsid w:val="001E2F9C"/>
    <w:rsid w:val="001E3648"/>
    <w:rsid w:val="001E3E07"/>
    <w:rsid w:val="001E45D6"/>
    <w:rsid w:val="001E5943"/>
    <w:rsid w:val="001E5BBF"/>
    <w:rsid w:val="001E5F99"/>
    <w:rsid w:val="001E6102"/>
    <w:rsid w:val="001E6389"/>
    <w:rsid w:val="001E651E"/>
    <w:rsid w:val="001E6716"/>
    <w:rsid w:val="001E714F"/>
    <w:rsid w:val="001E7574"/>
    <w:rsid w:val="001F058D"/>
    <w:rsid w:val="001F0783"/>
    <w:rsid w:val="001F0BD7"/>
    <w:rsid w:val="001F10A3"/>
    <w:rsid w:val="001F130F"/>
    <w:rsid w:val="001F206F"/>
    <w:rsid w:val="001F257A"/>
    <w:rsid w:val="001F278E"/>
    <w:rsid w:val="001F2E8F"/>
    <w:rsid w:val="001F33F6"/>
    <w:rsid w:val="001F3712"/>
    <w:rsid w:val="001F401E"/>
    <w:rsid w:val="001F4BB1"/>
    <w:rsid w:val="001F4D6A"/>
    <w:rsid w:val="001F51C2"/>
    <w:rsid w:val="001F5227"/>
    <w:rsid w:val="001F550A"/>
    <w:rsid w:val="001F5564"/>
    <w:rsid w:val="001F58CA"/>
    <w:rsid w:val="001F5E52"/>
    <w:rsid w:val="001F6001"/>
    <w:rsid w:val="001F66EE"/>
    <w:rsid w:val="001F6980"/>
    <w:rsid w:val="001F6CEF"/>
    <w:rsid w:val="001F75CC"/>
    <w:rsid w:val="001F7AC1"/>
    <w:rsid w:val="002000AF"/>
    <w:rsid w:val="00200436"/>
    <w:rsid w:val="0020087C"/>
    <w:rsid w:val="002009D3"/>
    <w:rsid w:val="00200C10"/>
    <w:rsid w:val="00200DFA"/>
    <w:rsid w:val="002015F2"/>
    <w:rsid w:val="00201A0C"/>
    <w:rsid w:val="0020252A"/>
    <w:rsid w:val="00202754"/>
    <w:rsid w:val="002029AF"/>
    <w:rsid w:val="00202D27"/>
    <w:rsid w:val="00203050"/>
    <w:rsid w:val="0020321B"/>
    <w:rsid w:val="00203396"/>
    <w:rsid w:val="00203671"/>
    <w:rsid w:val="00203EAB"/>
    <w:rsid w:val="00204589"/>
    <w:rsid w:val="002046B2"/>
    <w:rsid w:val="00204B71"/>
    <w:rsid w:val="002056B6"/>
    <w:rsid w:val="00205AFA"/>
    <w:rsid w:val="0020610A"/>
    <w:rsid w:val="00206499"/>
    <w:rsid w:val="00206DA7"/>
    <w:rsid w:val="00206EA9"/>
    <w:rsid w:val="00207EF1"/>
    <w:rsid w:val="00207F2F"/>
    <w:rsid w:val="0021001A"/>
    <w:rsid w:val="0021025B"/>
    <w:rsid w:val="00210464"/>
    <w:rsid w:val="00210B55"/>
    <w:rsid w:val="00210B86"/>
    <w:rsid w:val="00211765"/>
    <w:rsid w:val="00211769"/>
    <w:rsid w:val="00211805"/>
    <w:rsid w:val="00211C44"/>
    <w:rsid w:val="0021240E"/>
    <w:rsid w:val="00212908"/>
    <w:rsid w:val="00212DED"/>
    <w:rsid w:val="0021323C"/>
    <w:rsid w:val="0021387C"/>
    <w:rsid w:val="00213F3A"/>
    <w:rsid w:val="002159E0"/>
    <w:rsid w:val="00215B40"/>
    <w:rsid w:val="0021612D"/>
    <w:rsid w:val="00216255"/>
    <w:rsid w:val="0021637D"/>
    <w:rsid w:val="0021661B"/>
    <w:rsid w:val="00216652"/>
    <w:rsid w:val="002166BF"/>
    <w:rsid w:val="00217237"/>
    <w:rsid w:val="00217AD2"/>
    <w:rsid w:val="00217B0B"/>
    <w:rsid w:val="0022065F"/>
    <w:rsid w:val="0022068A"/>
    <w:rsid w:val="002224A5"/>
    <w:rsid w:val="002227D3"/>
    <w:rsid w:val="00223C61"/>
    <w:rsid w:val="00224C70"/>
    <w:rsid w:val="002251A2"/>
    <w:rsid w:val="002254F4"/>
    <w:rsid w:val="00225806"/>
    <w:rsid w:val="00225987"/>
    <w:rsid w:val="00225E48"/>
    <w:rsid w:val="002273F2"/>
    <w:rsid w:val="00227947"/>
    <w:rsid w:val="00230791"/>
    <w:rsid w:val="00230F22"/>
    <w:rsid w:val="00230F95"/>
    <w:rsid w:val="00231309"/>
    <w:rsid w:val="00231633"/>
    <w:rsid w:val="0023177D"/>
    <w:rsid w:val="002319CD"/>
    <w:rsid w:val="0023241E"/>
    <w:rsid w:val="00232545"/>
    <w:rsid w:val="002327DC"/>
    <w:rsid w:val="002329B2"/>
    <w:rsid w:val="00232A09"/>
    <w:rsid w:val="00232CA0"/>
    <w:rsid w:val="00232FE6"/>
    <w:rsid w:val="00233170"/>
    <w:rsid w:val="0023349A"/>
    <w:rsid w:val="002336ED"/>
    <w:rsid w:val="0023388B"/>
    <w:rsid w:val="00234B14"/>
    <w:rsid w:val="00234E3D"/>
    <w:rsid w:val="00234F6D"/>
    <w:rsid w:val="00235042"/>
    <w:rsid w:val="00235366"/>
    <w:rsid w:val="002362B6"/>
    <w:rsid w:val="002363B4"/>
    <w:rsid w:val="00236478"/>
    <w:rsid w:val="002369B6"/>
    <w:rsid w:val="002370CA"/>
    <w:rsid w:val="002370FA"/>
    <w:rsid w:val="0024045B"/>
    <w:rsid w:val="00240D3C"/>
    <w:rsid w:val="0024110B"/>
    <w:rsid w:val="00241392"/>
    <w:rsid w:val="002416F3"/>
    <w:rsid w:val="00241916"/>
    <w:rsid w:val="00241D69"/>
    <w:rsid w:val="002421F6"/>
    <w:rsid w:val="002422C2"/>
    <w:rsid w:val="00242849"/>
    <w:rsid w:val="00242D9D"/>
    <w:rsid w:val="00243154"/>
    <w:rsid w:val="00243195"/>
    <w:rsid w:val="0024407C"/>
    <w:rsid w:val="002443D7"/>
    <w:rsid w:val="00244A7A"/>
    <w:rsid w:val="00245F9B"/>
    <w:rsid w:val="00245FDC"/>
    <w:rsid w:val="00246852"/>
    <w:rsid w:val="00246BE3"/>
    <w:rsid w:val="00246C03"/>
    <w:rsid w:val="00246F32"/>
    <w:rsid w:val="0024733B"/>
    <w:rsid w:val="002475C9"/>
    <w:rsid w:val="00247707"/>
    <w:rsid w:val="0024783B"/>
    <w:rsid w:val="00247BB2"/>
    <w:rsid w:val="00247C89"/>
    <w:rsid w:val="0025024B"/>
    <w:rsid w:val="00250A07"/>
    <w:rsid w:val="00250A21"/>
    <w:rsid w:val="00251357"/>
    <w:rsid w:val="002515B5"/>
    <w:rsid w:val="002518EE"/>
    <w:rsid w:val="00251C64"/>
    <w:rsid w:val="00252221"/>
    <w:rsid w:val="00253644"/>
    <w:rsid w:val="002538D7"/>
    <w:rsid w:val="00253EF2"/>
    <w:rsid w:val="002543DB"/>
    <w:rsid w:val="002546DF"/>
    <w:rsid w:val="0025472E"/>
    <w:rsid w:val="00254FE6"/>
    <w:rsid w:val="00255218"/>
    <w:rsid w:val="002556D7"/>
    <w:rsid w:val="00255AD6"/>
    <w:rsid w:val="002566DD"/>
    <w:rsid w:val="0025694A"/>
    <w:rsid w:val="00256C44"/>
    <w:rsid w:val="00257309"/>
    <w:rsid w:val="002579E4"/>
    <w:rsid w:val="00257BBD"/>
    <w:rsid w:val="0026070B"/>
    <w:rsid w:val="00260BA4"/>
    <w:rsid w:val="00260DEB"/>
    <w:rsid w:val="00260E03"/>
    <w:rsid w:val="0026104D"/>
    <w:rsid w:val="002610AC"/>
    <w:rsid w:val="00261473"/>
    <w:rsid w:val="002615E0"/>
    <w:rsid w:val="0026163C"/>
    <w:rsid w:val="00262849"/>
    <w:rsid w:val="00262A7B"/>
    <w:rsid w:val="00262FDE"/>
    <w:rsid w:val="00263417"/>
    <w:rsid w:val="00263739"/>
    <w:rsid w:val="0026374F"/>
    <w:rsid w:val="00264669"/>
    <w:rsid w:val="002648FD"/>
    <w:rsid w:val="00264A49"/>
    <w:rsid w:val="00264EA7"/>
    <w:rsid w:val="00265187"/>
    <w:rsid w:val="00265458"/>
    <w:rsid w:val="00265A73"/>
    <w:rsid w:val="00265B79"/>
    <w:rsid w:val="00265D92"/>
    <w:rsid w:val="0026642F"/>
    <w:rsid w:val="0026647F"/>
    <w:rsid w:val="00266EC3"/>
    <w:rsid w:val="00267377"/>
    <w:rsid w:val="00267C30"/>
    <w:rsid w:val="00267D77"/>
    <w:rsid w:val="00270037"/>
    <w:rsid w:val="002701FF"/>
    <w:rsid w:val="002702FA"/>
    <w:rsid w:val="00270512"/>
    <w:rsid w:val="00270799"/>
    <w:rsid w:val="0027082A"/>
    <w:rsid w:val="00271DF1"/>
    <w:rsid w:val="0027248F"/>
    <w:rsid w:val="00272CDF"/>
    <w:rsid w:val="00272D3B"/>
    <w:rsid w:val="0027311A"/>
    <w:rsid w:val="00273A75"/>
    <w:rsid w:val="00273CFD"/>
    <w:rsid w:val="00274957"/>
    <w:rsid w:val="0027496A"/>
    <w:rsid w:val="00274D64"/>
    <w:rsid w:val="0027551F"/>
    <w:rsid w:val="00275A1E"/>
    <w:rsid w:val="0027610F"/>
    <w:rsid w:val="002769B4"/>
    <w:rsid w:val="00277096"/>
    <w:rsid w:val="00277D9E"/>
    <w:rsid w:val="002801C2"/>
    <w:rsid w:val="00280218"/>
    <w:rsid w:val="00281050"/>
    <w:rsid w:val="00281B24"/>
    <w:rsid w:val="002820F0"/>
    <w:rsid w:val="002823AA"/>
    <w:rsid w:val="00282442"/>
    <w:rsid w:val="0028274C"/>
    <w:rsid w:val="00282F48"/>
    <w:rsid w:val="00283104"/>
    <w:rsid w:val="00283677"/>
    <w:rsid w:val="00284136"/>
    <w:rsid w:val="00284C57"/>
    <w:rsid w:val="0028500F"/>
    <w:rsid w:val="0028632C"/>
    <w:rsid w:val="002864DF"/>
    <w:rsid w:val="00286AA2"/>
    <w:rsid w:val="00286D62"/>
    <w:rsid w:val="002876B2"/>
    <w:rsid w:val="00287BC6"/>
    <w:rsid w:val="002900F0"/>
    <w:rsid w:val="00290C16"/>
    <w:rsid w:val="00290E30"/>
    <w:rsid w:val="00290E3F"/>
    <w:rsid w:val="00290E7A"/>
    <w:rsid w:val="002911D3"/>
    <w:rsid w:val="00292EC8"/>
    <w:rsid w:val="00293363"/>
    <w:rsid w:val="002939D3"/>
    <w:rsid w:val="00293A93"/>
    <w:rsid w:val="00293BA4"/>
    <w:rsid w:val="00293F95"/>
    <w:rsid w:val="002952FD"/>
    <w:rsid w:val="002954C0"/>
    <w:rsid w:val="00295640"/>
    <w:rsid w:val="00295873"/>
    <w:rsid w:val="00295DA9"/>
    <w:rsid w:val="00296A54"/>
    <w:rsid w:val="00296E96"/>
    <w:rsid w:val="0029716F"/>
    <w:rsid w:val="00297EF5"/>
    <w:rsid w:val="002A0CD7"/>
    <w:rsid w:val="002A12F1"/>
    <w:rsid w:val="002A1463"/>
    <w:rsid w:val="002A16E1"/>
    <w:rsid w:val="002A1A0E"/>
    <w:rsid w:val="002A1B90"/>
    <w:rsid w:val="002A205A"/>
    <w:rsid w:val="002A2097"/>
    <w:rsid w:val="002A20CB"/>
    <w:rsid w:val="002A2351"/>
    <w:rsid w:val="002A241C"/>
    <w:rsid w:val="002A26FE"/>
    <w:rsid w:val="002A2772"/>
    <w:rsid w:val="002A2C8F"/>
    <w:rsid w:val="002A307C"/>
    <w:rsid w:val="002A308F"/>
    <w:rsid w:val="002A38F5"/>
    <w:rsid w:val="002A3F21"/>
    <w:rsid w:val="002A40FD"/>
    <w:rsid w:val="002A42CE"/>
    <w:rsid w:val="002A4BFD"/>
    <w:rsid w:val="002A5E1B"/>
    <w:rsid w:val="002A5FB9"/>
    <w:rsid w:val="002A6472"/>
    <w:rsid w:val="002A7561"/>
    <w:rsid w:val="002A7DEB"/>
    <w:rsid w:val="002B04B9"/>
    <w:rsid w:val="002B085F"/>
    <w:rsid w:val="002B0FA8"/>
    <w:rsid w:val="002B122A"/>
    <w:rsid w:val="002B26A6"/>
    <w:rsid w:val="002B276E"/>
    <w:rsid w:val="002B284F"/>
    <w:rsid w:val="002B2BAA"/>
    <w:rsid w:val="002B2BC5"/>
    <w:rsid w:val="002B32FF"/>
    <w:rsid w:val="002B3FBA"/>
    <w:rsid w:val="002B4187"/>
    <w:rsid w:val="002B4336"/>
    <w:rsid w:val="002B4C29"/>
    <w:rsid w:val="002B5325"/>
    <w:rsid w:val="002B5958"/>
    <w:rsid w:val="002B5BDA"/>
    <w:rsid w:val="002B6649"/>
    <w:rsid w:val="002B7103"/>
    <w:rsid w:val="002B7394"/>
    <w:rsid w:val="002B741D"/>
    <w:rsid w:val="002B77E0"/>
    <w:rsid w:val="002B7CD4"/>
    <w:rsid w:val="002C0478"/>
    <w:rsid w:val="002C10BD"/>
    <w:rsid w:val="002C17C0"/>
    <w:rsid w:val="002C2B88"/>
    <w:rsid w:val="002C3807"/>
    <w:rsid w:val="002C3B16"/>
    <w:rsid w:val="002C41EC"/>
    <w:rsid w:val="002C4390"/>
    <w:rsid w:val="002C455A"/>
    <w:rsid w:val="002C4873"/>
    <w:rsid w:val="002C4B42"/>
    <w:rsid w:val="002C4DBC"/>
    <w:rsid w:val="002C595F"/>
    <w:rsid w:val="002C59DF"/>
    <w:rsid w:val="002C5E4B"/>
    <w:rsid w:val="002C6929"/>
    <w:rsid w:val="002C6948"/>
    <w:rsid w:val="002C69BA"/>
    <w:rsid w:val="002C6EB2"/>
    <w:rsid w:val="002C6F8B"/>
    <w:rsid w:val="002C7296"/>
    <w:rsid w:val="002C72D3"/>
    <w:rsid w:val="002C75E7"/>
    <w:rsid w:val="002C7A37"/>
    <w:rsid w:val="002C7DD4"/>
    <w:rsid w:val="002D0203"/>
    <w:rsid w:val="002D0551"/>
    <w:rsid w:val="002D0E0C"/>
    <w:rsid w:val="002D1936"/>
    <w:rsid w:val="002D1D03"/>
    <w:rsid w:val="002D2177"/>
    <w:rsid w:val="002D22B7"/>
    <w:rsid w:val="002D2397"/>
    <w:rsid w:val="002D2AD2"/>
    <w:rsid w:val="002D2B4E"/>
    <w:rsid w:val="002D2F45"/>
    <w:rsid w:val="002D3063"/>
    <w:rsid w:val="002D347A"/>
    <w:rsid w:val="002D3624"/>
    <w:rsid w:val="002D3752"/>
    <w:rsid w:val="002D3F5B"/>
    <w:rsid w:val="002D40BF"/>
    <w:rsid w:val="002D45FB"/>
    <w:rsid w:val="002D5511"/>
    <w:rsid w:val="002D56AF"/>
    <w:rsid w:val="002D599F"/>
    <w:rsid w:val="002D71A4"/>
    <w:rsid w:val="002D7796"/>
    <w:rsid w:val="002D7B66"/>
    <w:rsid w:val="002D7EC1"/>
    <w:rsid w:val="002E07C9"/>
    <w:rsid w:val="002E10E3"/>
    <w:rsid w:val="002E1939"/>
    <w:rsid w:val="002E2624"/>
    <w:rsid w:val="002E28C4"/>
    <w:rsid w:val="002E323F"/>
    <w:rsid w:val="002E367D"/>
    <w:rsid w:val="002E3922"/>
    <w:rsid w:val="002E3BF7"/>
    <w:rsid w:val="002E47A6"/>
    <w:rsid w:val="002E4836"/>
    <w:rsid w:val="002E49CF"/>
    <w:rsid w:val="002E4FBD"/>
    <w:rsid w:val="002E6241"/>
    <w:rsid w:val="002E6572"/>
    <w:rsid w:val="002E7912"/>
    <w:rsid w:val="002E7DCF"/>
    <w:rsid w:val="002F02D7"/>
    <w:rsid w:val="002F1688"/>
    <w:rsid w:val="002F187B"/>
    <w:rsid w:val="002F20EB"/>
    <w:rsid w:val="002F2312"/>
    <w:rsid w:val="002F23A4"/>
    <w:rsid w:val="002F2B36"/>
    <w:rsid w:val="002F3263"/>
    <w:rsid w:val="002F3666"/>
    <w:rsid w:val="002F3854"/>
    <w:rsid w:val="002F3AF1"/>
    <w:rsid w:val="002F4117"/>
    <w:rsid w:val="002F47B7"/>
    <w:rsid w:val="002F48E2"/>
    <w:rsid w:val="002F4FFB"/>
    <w:rsid w:val="002F5471"/>
    <w:rsid w:val="002F5CD4"/>
    <w:rsid w:val="002F662A"/>
    <w:rsid w:val="002F7270"/>
    <w:rsid w:val="002F7517"/>
    <w:rsid w:val="002F7A30"/>
    <w:rsid w:val="002F7AEA"/>
    <w:rsid w:val="0030041F"/>
    <w:rsid w:val="00301231"/>
    <w:rsid w:val="003016C4"/>
    <w:rsid w:val="0030189B"/>
    <w:rsid w:val="00301C1B"/>
    <w:rsid w:val="00301D81"/>
    <w:rsid w:val="00302159"/>
    <w:rsid w:val="00302294"/>
    <w:rsid w:val="003029E5"/>
    <w:rsid w:val="00302BFA"/>
    <w:rsid w:val="00302C43"/>
    <w:rsid w:val="003032FE"/>
    <w:rsid w:val="003036B5"/>
    <w:rsid w:val="00303E64"/>
    <w:rsid w:val="00304192"/>
    <w:rsid w:val="00304212"/>
    <w:rsid w:val="00304613"/>
    <w:rsid w:val="00304E2B"/>
    <w:rsid w:val="003052D9"/>
    <w:rsid w:val="0030546E"/>
    <w:rsid w:val="00305D0A"/>
    <w:rsid w:val="003065FF"/>
    <w:rsid w:val="003066D1"/>
    <w:rsid w:val="0030670C"/>
    <w:rsid w:val="0030761F"/>
    <w:rsid w:val="003078D9"/>
    <w:rsid w:val="00310408"/>
    <w:rsid w:val="00310AC3"/>
    <w:rsid w:val="00311046"/>
    <w:rsid w:val="0031122A"/>
    <w:rsid w:val="003115F3"/>
    <w:rsid w:val="00311B4E"/>
    <w:rsid w:val="00311BDA"/>
    <w:rsid w:val="00311D61"/>
    <w:rsid w:val="00312497"/>
    <w:rsid w:val="00312E71"/>
    <w:rsid w:val="00312EAF"/>
    <w:rsid w:val="00312EB5"/>
    <w:rsid w:val="0031358B"/>
    <w:rsid w:val="00313799"/>
    <w:rsid w:val="0031409D"/>
    <w:rsid w:val="003150B3"/>
    <w:rsid w:val="00315366"/>
    <w:rsid w:val="00315372"/>
    <w:rsid w:val="00315B99"/>
    <w:rsid w:val="00315BCB"/>
    <w:rsid w:val="00315C94"/>
    <w:rsid w:val="003163DE"/>
    <w:rsid w:val="00316422"/>
    <w:rsid w:val="00316D2F"/>
    <w:rsid w:val="003177A0"/>
    <w:rsid w:val="00317C83"/>
    <w:rsid w:val="00317EA4"/>
    <w:rsid w:val="003203BF"/>
    <w:rsid w:val="0032042A"/>
    <w:rsid w:val="0032094B"/>
    <w:rsid w:val="00320B0B"/>
    <w:rsid w:val="00321148"/>
    <w:rsid w:val="0032121E"/>
    <w:rsid w:val="00321433"/>
    <w:rsid w:val="003217BF"/>
    <w:rsid w:val="00321CAE"/>
    <w:rsid w:val="00321EC5"/>
    <w:rsid w:val="0032250C"/>
    <w:rsid w:val="0032346A"/>
    <w:rsid w:val="003234F5"/>
    <w:rsid w:val="00323589"/>
    <w:rsid w:val="00323BD6"/>
    <w:rsid w:val="0032439F"/>
    <w:rsid w:val="00324F54"/>
    <w:rsid w:val="003253F4"/>
    <w:rsid w:val="003259FF"/>
    <w:rsid w:val="00325D85"/>
    <w:rsid w:val="00327482"/>
    <w:rsid w:val="00327F41"/>
    <w:rsid w:val="003301BE"/>
    <w:rsid w:val="00330E67"/>
    <w:rsid w:val="0033125F"/>
    <w:rsid w:val="003320DC"/>
    <w:rsid w:val="0033247E"/>
    <w:rsid w:val="00332787"/>
    <w:rsid w:val="003328E6"/>
    <w:rsid w:val="00332AEE"/>
    <w:rsid w:val="00332D8B"/>
    <w:rsid w:val="0033303B"/>
    <w:rsid w:val="00333F59"/>
    <w:rsid w:val="003343B9"/>
    <w:rsid w:val="003343C2"/>
    <w:rsid w:val="0033467D"/>
    <w:rsid w:val="003365AC"/>
    <w:rsid w:val="00336CBB"/>
    <w:rsid w:val="00336CE7"/>
    <w:rsid w:val="003407CE"/>
    <w:rsid w:val="003410AC"/>
    <w:rsid w:val="0034157C"/>
    <w:rsid w:val="0034227A"/>
    <w:rsid w:val="0034260C"/>
    <w:rsid w:val="00342A13"/>
    <w:rsid w:val="00342F86"/>
    <w:rsid w:val="00343824"/>
    <w:rsid w:val="00344E1F"/>
    <w:rsid w:val="00345467"/>
    <w:rsid w:val="003454EC"/>
    <w:rsid w:val="0034576E"/>
    <w:rsid w:val="00346258"/>
    <w:rsid w:val="003466BF"/>
    <w:rsid w:val="00346935"/>
    <w:rsid w:val="00346C84"/>
    <w:rsid w:val="00347AA0"/>
    <w:rsid w:val="00347B0F"/>
    <w:rsid w:val="0035022B"/>
    <w:rsid w:val="003504AC"/>
    <w:rsid w:val="00350BF7"/>
    <w:rsid w:val="003511CF"/>
    <w:rsid w:val="003511FD"/>
    <w:rsid w:val="00351B40"/>
    <w:rsid w:val="00351B5E"/>
    <w:rsid w:val="00351E19"/>
    <w:rsid w:val="00352C4D"/>
    <w:rsid w:val="00352E5A"/>
    <w:rsid w:val="00352E7A"/>
    <w:rsid w:val="00353179"/>
    <w:rsid w:val="003531DF"/>
    <w:rsid w:val="00353920"/>
    <w:rsid w:val="00353990"/>
    <w:rsid w:val="00353C7B"/>
    <w:rsid w:val="00353EE9"/>
    <w:rsid w:val="00353F76"/>
    <w:rsid w:val="003552C6"/>
    <w:rsid w:val="00355AEC"/>
    <w:rsid w:val="00357F50"/>
    <w:rsid w:val="003608C3"/>
    <w:rsid w:val="00360E28"/>
    <w:rsid w:val="003611C4"/>
    <w:rsid w:val="00361823"/>
    <w:rsid w:val="00361D36"/>
    <w:rsid w:val="00361ED8"/>
    <w:rsid w:val="0036220B"/>
    <w:rsid w:val="003627B2"/>
    <w:rsid w:val="00362884"/>
    <w:rsid w:val="00362FCB"/>
    <w:rsid w:val="0036336D"/>
    <w:rsid w:val="00363A60"/>
    <w:rsid w:val="00363C2E"/>
    <w:rsid w:val="0036477C"/>
    <w:rsid w:val="003655CF"/>
    <w:rsid w:val="0036561B"/>
    <w:rsid w:val="00365E61"/>
    <w:rsid w:val="00366B1E"/>
    <w:rsid w:val="00366B3E"/>
    <w:rsid w:val="00367609"/>
    <w:rsid w:val="00367E37"/>
    <w:rsid w:val="00370756"/>
    <w:rsid w:val="00370AC9"/>
    <w:rsid w:val="00370F87"/>
    <w:rsid w:val="00370FA6"/>
    <w:rsid w:val="00370FCF"/>
    <w:rsid w:val="003710C6"/>
    <w:rsid w:val="003712EC"/>
    <w:rsid w:val="00371DC4"/>
    <w:rsid w:val="00372285"/>
    <w:rsid w:val="003722C8"/>
    <w:rsid w:val="003724F9"/>
    <w:rsid w:val="003728A8"/>
    <w:rsid w:val="00372D1B"/>
    <w:rsid w:val="0037305C"/>
    <w:rsid w:val="00373162"/>
    <w:rsid w:val="0037327B"/>
    <w:rsid w:val="003739F1"/>
    <w:rsid w:val="00373B8F"/>
    <w:rsid w:val="00374391"/>
    <w:rsid w:val="003745D1"/>
    <w:rsid w:val="00374B92"/>
    <w:rsid w:val="00374F6C"/>
    <w:rsid w:val="003750B7"/>
    <w:rsid w:val="003752A6"/>
    <w:rsid w:val="00375415"/>
    <w:rsid w:val="003754E2"/>
    <w:rsid w:val="00375574"/>
    <w:rsid w:val="00375679"/>
    <w:rsid w:val="00375939"/>
    <w:rsid w:val="00375D76"/>
    <w:rsid w:val="00375DCC"/>
    <w:rsid w:val="0037659B"/>
    <w:rsid w:val="003767C7"/>
    <w:rsid w:val="003776F9"/>
    <w:rsid w:val="003778D1"/>
    <w:rsid w:val="00377D32"/>
    <w:rsid w:val="00377FC1"/>
    <w:rsid w:val="003802CE"/>
    <w:rsid w:val="00380D07"/>
    <w:rsid w:val="00380D12"/>
    <w:rsid w:val="0038127D"/>
    <w:rsid w:val="0038138B"/>
    <w:rsid w:val="003813E3"/>
    <w:rsid w:val="003815A5"/>
    <w:rsid w:val="003815F3"/>
    <w:rsid w:val="00381EA4"/>
    <w:rsid w:val="0038220F"/>
    <w:rsid w:val="003822D9"/>
    <w:rsid w:val="00384A3C"/>
    <w:rsid w:val="00384AEC"/>
    <w:rsid w:val="003853FA"/>
    <w:rsid w:val="003854EF"/>
    <w:rsid w:val="0038602C"/>
    <w:rsid w:val="00386A50"/>
    <w:rsid w:val="00386DC1"/>
    <w:rsid w:val="00386E6F"/>
    <w:rsid w:val="00387314"/>
    <w:rsid w:val="00387A6C"/>
    <w:rsid w:val="0039014B"/>
    <w:rsid w:val="00390498"/>
    <w:rsid w:val="003904F6"/>
    <w:rsid w:val="0039050B"/>
    <w:rsid w:val="00390DAD"/>
    <w:rsid w:val="00390F60"/>
    <w:rsid w:val="00391AC2"/>
    <w:rsid w:val="00391E48"/>
    <w:rsid w:val="00392021"/>
    <w:rsid w:val="003923D7"/>
    <w:rsid w:val="00392873"/>
    <w:rsid w:val="00393139"/>
    <w:rsid w:val="00393931"/>
    <w:rsid w:val="00394012"/>
    <w:rsid w:val="00394132"/>
    <w:rsid w:val="00394BEE"/>
    <w:rsid w:val="0039548F"/>
    <w:rsid w:val="00395C93"/>
    <w:rsid w:val="00395D4C"/>
    <w:rsid w:val="003963C9"/>
    <w:rsid w:val="003967CA"/>
    <w:rsid w:val="00396804"/>
    <w:rsid w:val="00396D4F"/>
    <w:rsid w:val="0039779D"/>
    <w:rsid w:val="00397BFD"/>
    <w:rsid w:val="003A108C"/>
    <w:rsid w:val="003A186B"/>
    <w:rsid w:val="003A1E38"/>
    <w:rsid w:val="003A2256"/>
    <w:rsid w:val="003A2C1A"/>
    <w:rsid w:val="003A3B99"/>
    <w:rsid w:val="003A480B"/>
    <w:rsid w:val="003A4910"/>
    <w:rsid w:val="003A4EF9"/>
    <w:rsid w:val="003A6B4F"/>
    <w:rsid w:val="003A6BE3"/>
    <w:rsid w:val="003A777B"/>
    <w:rsid w:val="003A7B2E"/>
    <w:rsid w:val="003A7FAF"/>
    <w:rsid w:val="003B006B"/>
    <w:rsid w:val="003B04DE"/>
    <w:rsid w:val="003B101E"/>
    <w:rsid w:val="003B11A0"/>
    <w:rsid w:val="003B3DE2"/>
    <w:rsid w:val="003B4039"/>
    <w:rsid w:val="003B42C6"/>
    <w:rsid w:val="003B4480"/>
    <w:rsid w:val="003B47B4"/>
    <w:rsid w:val="003B4D0F"/>
    <w:rsid w:val="003B514B"/>
    <w:rsid w:val="003B5D9F"/>
    <w:rsid w:val="003B636B"/>
    <w:rsid w:val="003B6514"/>
    <w:rsid w:val="003B6B19"/>
    <w:rsid w:val="003B72C6"/>
    <w:rsid w:val="003B7AF3"/>
    <w:rsid w:val="003B7E9E"/>
    <w:rsid w:val="003C0C7B"/>
    <w:rsid w:val="003C0CA4"/>
    <w:rsid w:val="003C2426"/>
    <w:rsid w:val="003C26F9"/>
    <w:rsid w:val="003C310E"/>
    <w:rsid w:val="003C4D12"/>
    <w:rsid w:val="003C4F67"/>
    <w:rsid w:val="003C63AC"/>
    <w:rsid w:val="003C69B5"/>
    <w:rsid w:val="003D03C5"/>
    <w:rsid w:val="003D096E"/>
    <w:rsid w:val="003D0979"/>
    <w:rsid w:val="003D0F77"/>
    <w:rsid w:val="003D17E4"/>
    <w:rsid w:val="003D1D74"/>
    <w:rsid w:val="003D2AA5"/>
    <w:rsid w:val="003D30C6"/>
    <w:rsid w:val="003D39E3"/>
    <w:rsid w:val="003D3C7E"/>
    <w:rsid w:val="003D410B"/>
    <w:rsid w:val="003D5B9D"/>
    <w:rsid w:val="003D647E"/>
    <w:rsid w:val="003D6A33"/>
    <w:rsid w:val="003D6CB0"/>
    <w:rsid w:val="003D75A9"/>
    <w:rsid w:val="003D7619"/>
    <w:rsid w:val="003D762B"/>
    <w:rsid w:val="003D7F6E"/>
    <w:rsid w:val="003E2052"/>
    <w:rsid w:val="003E2142"/>
    <w:rsid w:val="003E2B15"/>
    <w:rsid w:val="003E2D71"/>
    <w:rsid w:val="003E3425"/>
    <w:rsid w:val="003E3E2E"/>
    <w:rsid w:val="003E461B"/>
    <w:rsid w:val="003E511E"/>
    <w:rsid w:val="003E538D"/>
    <w:rsid w:val="003E544B"/>
    <w:rsid w:val="003E5AEF"/>
    <w:rsid w:val="003E60AF"/>
    <w:rsid w:val="003E619C"/>
    <w:rsid w:val="003E6AB1"/>
    <w:rsid w:val="003E6BAD"/>
    <w:rsid w:val="003E7771"/>
    <w:rsid w:val="003E7C05"/>
    <w:rsid w:val="003F061F"/>
    <w:rsid w:val="003F152B"/>
    <w:rsid w:val="003F2267"/>
    <w:rsid w:val="003F22BE"/>
    <w:rsid w:val="003F2654"/>
    <w:rsid w:val="003F2896"/>
    <w:rsid w:val="003F2CEA"/>
    <w:rsid w:val="003F2F77"/>
    <w:rsid w:val="003F34E1"/>
    <w:rsid w:val="003F3723"/>
    <w:rsid w:val="003F4268"/>
    <w:rsid w:val="003F4A29"/>
    <w:rsid w:val="003F4ECA"/>
    <w:rsid w:val="003F5482"/>
    <w:rsid w:val="003F56F9"/>
    <w:rsid w:val="003F59A4"/>
    <w:rsid w:val="003F5DFE"/>
    <w:rsid w:val="003F5FF3"/>
    <w:rsid w:val="003F6067"/>
    <w:rsid w:val="003F61CC"/>
    <w:rsid w:val="003F6A85"/>
    <w:rsid w:val="003F730A"/>
    <w:rsid w:val="003F74B7"/>
    <w:rsid w:val="004010D2"/>
    <w:rsid w:val="00401979"/>
    <w:rsid w:val="00402499"/>
    <w:rsid w:val="00402D2C"/>
    <w:rsid w:val="0040302D"/>
    <w:rsid w:val="00403988"/>
    <w:rsid w:val="00403EC1"/>
    <w:rsid w:val="00404841"/>
    <w:rsid w:val="00405556"/>
    <w:rsid w:val="004059D9"/>
    <w:rsid w:val="00406AD8"/>
    <w:rsid w:val="00406F5B"/>
    <w:rsid w:val="004073D9"/>
    <w:rsid w:val="00410243"/>
    <w:rsid w:val="00410ADD"/>
    <w:rsid w:val="00410E7A"/>
    <w:rsid w:val="00410EDA"/>
    <w:rsid w:val="00411211"/>
    <w:rsid w:val="00411608"/>
    <w:rsid w:val="004125B2"/>
    <w:rsid w:val="00412F90"/>
    <w:rsid w:val="00413172"/>
    <w:rsid w:val="00413700"/>
    <w:rsid w:val="00413786"/>
    <w:rsid w:val="004138F2"/>
    <w:rsid w:val="00414025"/>
    <w:rsid w:val="00414B11"/>
    <w:rsid w:val="004152F7"/>
    <w:rsid w:val="00415A96"/>
    <w:rsid w:val="00416BB4"/>
    <w:rsid w:val="00416E35"/>
    <w:rsid w:val="004170F1"/>
    <w:rsid w:val="00417309"/>
    <w:rsid w:val="00417902"/>
    <w:rsid w:val="00417D8B"/>
    <w:rsid w:val="00417DA5"/>
    <w:rsid w:val="00417F77"/>
    <w:rsid w:val="00420856"/>
    <w:rsid w:val="00420B49"/>
    <w:rsid w:val="00421023"/>
    <w:rsid w:val="00421713"/>
    <w:rsid w:val="0042183B"/>
    <w:rsid w:val="00421993"/>
    <w:rsid w:val="00421C19"/>
    <w:rsid w:val="00421F8F"/>
    <w:rsid w:val="00422B15"/>
    <w:rsid w:val="0042374F"/>
    <w:rsid w:val="00423C73"/>
    <w:rsid w:val="00423C81"/>
    <w:rsid w:val="0042480F"/>
    <w:rsid w:val="004248EB"/>
    <w:rsid w:val="00424988"/>
    <w:rsid w:val="00424A01"/>
    <w:rsid w:val="00424CCD"/>
    <w:rsid w:val="00425DB4"/>
    <w:rsid w:val="00426603"/>
    <w:rsid w:val="004267C3"/>
    <w:rsid w:val="00426E8C"/>
    <w:rsid w:val="00427586"/>
    <w:rsid w:val="004276B5"/>
    <w:rsid w:val="00427D6D"/>
    <w:rsid w:val="004306F1"/>
    <w:rsid w:val="0043151A"/>
    <w:rsid w:val="004318F2"/>
    <w:rsid w:val="0043283D"/>
    <w:rsid w:val="00432B07"/>
    <w:rsid w:val="004334ED"/>
    <w:rsid w:val="004337EF"/>
    <w:rsid w:val="00434283"/>
    <w:rsid w:val="00434ECE"/>
    <w:rsid w:val="00435254"/>
    <w:rsid w:val="004356B8"/>
    <w:rsid w:val="004358A3"/>
    <w:rsid w:val="00435B55"/>
    <w:rsid w:val="004369AD"/>
    <w:rsid w:val="00436CEF"/>
    <w:rsid w:val="00436F96"/>
    <w:rsid w:val="0043790F"/>
    <w:rsid w:val="004379DD"/>
    <w:rsid w:val="00437C63"/>
    <w:rsid w:val="00437F43"/>
    <w:rsid w:val="0044098C"/>
    <w:rsid w:val="00440D5E"/>
    <w:rsid w:val="00441960"/>
    <w:rsid w:val="00441964"/>
    <w:rsid w:val="004420CA"/>
    <w:rsid w:val="0044212B"/>
    <w:rsid w:val="00442515"/>
    <w:rsid w:val="00442577"/>
    <w:rsid w:val="00442E33"/>
    <w:rsid w:val="00443135"/>
    <w:rsid w:val="00443577"/>
    <w:rsid w:val="00443978"/>
    <w:rsid w:val="00443B03"/>
    <w:rsid w:val="00443B43"/>
    <w:rsid w:val="00443D82"/>
    <w:rsid w:val="00443E94"/>
    <w:rsid w:val="00444F20"/>
    <w:rsid w:val="004458FC"/>
    <w:rsid w:val="00445CC7"/>
    <w:rsid w:val="004467E9"/>
    <w:rsid w:val="00446932"/>
    <w:rsid w:val="004469FA"/>
    <w:rsid w:val="00446F23"/>
    <w:rsid w:val="00447C8B"/>
    <w:rsid w:val="00447E2C"/>
    <w:rsid w:val="00447E44"/>
    <w:rsid w:val="0045024D"/>
    <w:rsid w:val="00450529"/>
    <w:rsid w:val="00450921"/>
    <w:rsid w:val="00450D9F"/>
    <w:rsid w:val="00450F1B"/>
    <w:rsid w:val="0045177F"/>
    <w:rsid w:val="00451C24"/>
    <w:rsid w:val="00451C3E"/>
    <w:rsid w:val="004526CB"/>
    <w:rsid w:val="004527E3"/>
    <w:rsid w:val="0045283C"/>
    <w:rsid w:val="00452A4F"/>
    <w:rsid w:val="00452C3D"/>
    <w:rsid w:val="00452C8C"/>
    <w:rsid w:val="004534A3"/>
    <w:rsid w:val="00453585"/>
    <w:rsid w:val="00454606"/>
    <w:rsid w:val="00454BE0"/>
    <w:rsid w:val="00454F19"/>
    <w:rsid w:val="004555B1"/>
    <w:rsid w:val="004559A5"/>
    <w:rsid w:val="00455A8B"/>
    <w:rsid w:val="00455D56"/>
    <w:rsid w:val="00456628"/>
    <w:rsid w:val="00456642"/>
    <w:rsid w:val="00456B0A"/>
    <w:rsid w:val="00456D41"/>
    <w:rsid w:val="004571BB"/>
    <w:rsid w:val="004602BC"/>
    <w:rsid w:val="004615D5"/>
    <w:rsid w:val="00461733"/>
    <w:rsid w:val="00461A6C"/>
    <w:rsid w:val="00461EE7"/>
    <w:rsid w:val="004627E0"/>
    <w:rsid w:val="00462BC4"/>
    <w:rsid w:val="00462DEF"/>
    <w:rsid w:val="004630B7"/>
    <w:rsid w:val="0046343E"/>
    <w:rsid w:val="00463445"/>
    <w:rsid w:val="00463924"/>
    <w:rsid w:val="00463D30"/>
    <w:rsid w:val="00463FE7"/>
    <w:rsid w:val="00464032"/>
    <w:rsid w:val="004643C0"/>
    <w:rsid w:val="0046452A"/>
    <w:rsid w:val="004645E4"/>
    <w:rsid w:val="00464982"/>
    <w:rsid w:val="00464AA2"/>
    <w:rsid w:val="00465092"/>
    <w:rsid w:val="0046525E"/>
    <w:rsid w:val="00465871"/>
    <w:rsid w:val="004677B1"/>
    <w:rsid w:val="004679B9"/>
    <w:rsid w:val="00467F55"/>
    <w:rsid w:val="00467FE5"/>
    <w:rsid w:val="0047003E"/>
    <w:rsid w:val="00470094"/>
    <w:rsid w:val="0047086C"/>
    <w:rsid w:val="00470BD8"/>
    <w:rsid w:val="0047102E"/>
    <w:rsid w:val="00471080"/>
    <w:rsid w:val="004712EE"/>
    <w:rsid w:val="004713E0"/>
    <w:rsid w:val="00471550"/>
    <w:rsid w:val="004715B4"/>
    <w:rsid w:val="00471809"/>
    <w:rsid w:val="00472136"/>
    <w:rsid w:val="0047303E"/>
    <w:rsid w:val="00473746"/>
    <w:rsid w:val="00473C1D"/>
    <w:rsid w:val="00474BA1"/>
    <w:rsid w:val="00474D7A"/>
    <w:rsid w:val="004752C5"/>
    <w:rsid w:val="0047676D"/>
    <w:rsid w:val="00476866"/>
    <w:rsid w:val="00476894"/>
    <w:rsid w:val="004801EF"/>
    <w:rsid w:val="0048073A"/>
    <w:rsid w:val="0048099A"/>
    <w:rsid w:val="00481B63"/>
    <w:rsid w:val="00482C29"/>
    <w:rsid w:val="004831EA"/>
    <w:rsid w:val="0048336B"/>
    <w:rsid w:val="00483991"/>
    <w:rsid w:val="00484C33"/>
    <w:rsid w:val="00484C78"/>
    <w:rsid w:val="00484D9B"/>
    <w:rsid w:val="004857DC"/>
    <w:rsid w:val="00485E04"/>
    <w:rsid w:val="00485E9F"/>
    <w:rsid w:val="004867E9"/>
    <w:rsid w:val="00486D7D"/>
    <w:rsid w:val="00487080"/>
    <w:rsid w:val="004877ED"/>
    <w:rsid w:val="00487CAA"/>
    <w:rsid w:val="00487CF4"/>
    <w:rsid w:val="0049010D"/>
    <w:rsid w:val="00490340"/>
    <w:rsid w:val="00490654"/>
    <w:rsid w:val="004916A7"/>
    <w:rsid w:val="00491C81"/>
    <w:rsid w:val="00491F91"/>
    <w:rsid w:val="0049232C"/>
    <w:rsid w:val="0049267F"/>
    <w:rsid w:val="00492968"/>
    <w:rsid w:val="00494665"/>
    <w:rsid w:val="00494F6A"/>
    <w:rsid w:val="00495225"/>
    <w:rsid w:val="00495D85"/>
    <w:rsid w:val="00495E40"/>
    <w:rsid w:val="00495ED3"/>
    <w:rsid w:val="0049611B"/>
    <w:rsid w:val="004962C0"/>
    <w:rsid w:val="0049681E"/>
    <w:rsid w:val="00496F85"/>
    <w:rsid w:val="0049749F"/>
    <w:rsid w:val="004979C7"/>
    <w:rsid w:val="004A08DC"/>
    <w:rsid w:val="004A09E4"/>
    <w:rsid w:val="004A0E9E"/>
    <w:rsid w:val="004A1170"/>
    <w:rsid w:val="004A19F2"/>
    <w:rsid w:val="004A1DD7"/>
    <w:rsid w:val="004A2230"/>
    <w:rsid w:val="004A2231"/>
    <w:rsid w:val="004A279F"/>
    <w:rsid w:val="004A2B9C"/>
    <w:rsid w:val="004A37B1"/>
    <w:rsid w:val="004A3DE3"/>
    <w:rsid w:val="004A4234"/>
    <w:rsid w:val="004A4607"/>
    <w:rsid w:val="004A48D1"/>
    <w:rsid w:val="004A5134"/>
    <w:rsid w:val="004A53DF"/>
    <w:rsid w:val="004A663D"/>
    <w:rsid w:val="004A68F7"/>
    <w:rsid w:val="004A6E06"/>
    <w:rsid w:val="004A6FCA"/>
    <w:rsid w:val="004A70EA"/>
    <w:rsid w:val="004A7E0D"/>
    <w:rsid w:val="004B05FB"/>
    <w:rsid w:val="004B0879"/>
    <w:rsid w:val="004B09CF"/>
    <w:rsid w:val="004B09F8"/>
    <w:rsid w:val="004B0ABD"/>
    <w:rsid w:val="004B0AE8"/>
    <w:rsid w:val="004B1040"/>
    <w:rsid w:val="004B11C9"/>
    <w:rsid w:val="004B1423"/>
    <w:rsid w:val="004B1C1E"/>
    <w:rsid w:val="004B214F"/>
    <w:rsid w:val="004B2709"/>
    <w:rsid w:val="004B296C"/>
    <w:rsid w:val="004B2DE1"/>
    <w:rsid w:val="004B2F4E"/>
    <w:rsid w:val="004B30D8"/>
    <w:rsid w:val="004B3337"/>
    <w:rsid w:val="004B3721"/>
    <w:rsid w:val="004B3D33"/>
    <w:rsid w:val="004B3FEC"/>
    <w:rsid w:val="004B435E"/>
    <w:rsid w:val="004B44AC"/>
    <w:rsid w:val="004B543D"/>
    <w:rsid w:val="004B5A15"/>
    <w:rsid w:val="004B648F"/>
    <w:rsid w:val="004B677C"/>
    <w:rsid w:val="004B6A30"/>
    <w:rsid w:val="004B6B90"/>
    <w:rsid w:val="004B71C2"/>
    <w:rsid w:val="004B7430"/>
    <w:rsid w:val="004B7499"/>
    <w:rsid w:val="004C02C9"/>
    <w:rsid w:val="004C0939"/>
    <w:rsid w:val="004C09A9"/>
    <w:rsid w:val="004C0CE7"/>
    <w:rsid w:val="004C182E"/>
    <w:rsid w:val="004C1C89"/>
    <w:rsid w:val="004C2394"/>
    <w:rsid w:val="004C2CA4"/>
    <w:rsid w:val="004C2D90"/>
    <w:rsid w:val="004C2E8E"/>
    <w:rsid w:val="004C3235"/>
    <w:rsid w:val="004C36C5"/>
    <w:rsid w:val="004C37AF"/>
    <w:rsid w:val="004C38EB"/>
    <w:rsid w:val="004C3988"/>
    <w:rsid w:val="004C3AF1"/>
    <w:rsid w:val="004C41D0"/>
    <w:rsid w:val="004C47C6"/>
    <w:rsid w:val="004C4D06"/>
    <w:rsid w:val="004C4D40"/>
    <w:rsid w:val="004C4DE8"/>
    <w:rsid w:val="004C531A"/>
    <w:rsid w:val="004C5D30"/>
    <w:rsid w:val="004C5F48"/>
    <w:rsid w:val="004C601C"/>
    <w:rsid w:val="004C6B28"/>
    <w:rsid w:val="004C74FE"/>
    <w:rsid w:val="004C77C0"/>
    <w:rsid w:val="004C7A4B"/>
    <w:rsid w:val="004C7AEF"/>
    <w:rsid w:val="004D013D"/>
    <w:rsid w:val="004D04EC"/>
    <w:rsid w:val="004D08B4"/>
    <w:rsid w:val="004D0BFD"/>
    <w:rsid w:val="004D0E0B"/>
    <w:rsid w:val="004D0E5E"/>
    <w:rsid w:val="004D20C7"/>
    <w:rsid w:val="004D2909"/>
    <w:rsid w:val="004D2C2E"/>
    <w:rsid w:val="004D3D42"/>
    <w:rsid w:val="004D4504"/>
    <w:rsid w:val="004D4645"/>
    <w:rsid w:val="004D469D"/>
    <w:rsid w:val="004D48AE"/>
    <w:rsid w:val="004D4C4C"/>
    <w:rsid w:val="004D4DE0"/>
    <w:rsid w:val="004D4F1F"/>
    <w:rsid w:val="004D4FF4"/>
    <w:rsid w:val="004D5291"/>
    <w:rsid w:val="004D58D1"/>
    <w:rsid w:val="004D5BD9"/>
    <w:rsid w:val="004D6C0B"/>
    <w:rsid w:val="004D6C3C"/>
    <w:rsid w:val="004D7344"/>
    <w:rsid w:val="004D7419"/>
    <w:rsid w:val="004D755C"/>
    <w:rsid w:val="004D7BA5"/>
    <w:rsid w:val="004E06B2"/>
    <w:rsid w:val="004E106E"/>
    <w:rsid w:val="004E125F"/>
    <w:rsid w:val="004E12E1"/>
    <w:rsid w:val="004E1C35"/>
    <w:rsid w:val="004E1C79"/>
    <w:rsid w:val="004E1E98"/>
    <w:rsid w:val="004E209A"/>
    <w:rsid w:val="004E230F"/>
    <w:rsid w:val="004E2969"/>
    <w:rsid w:val="004E2FF9"/>
    <w:rsid w:val="004E3EEA"/>
    <w:rsid w:val="004E40A7"/>
    <w:rsid w:val="004E4895"/>
    <w:rsid w:val="004E553D"/>
    <w:rsid w:val="004E5F6E"/>
    <w:rsid w:val="004E6481"/>
    <w:rsid w:val="004E667F"/>
    <w:rsid w:val="004E6B54"/>
    <w:rsid w:val="004F03C8"/>
    <w:rsid w:val="004F1094"/>
    <w:rsid w:val="004F1211"/>
    <w:rsid w:val="004F1817"/>
    <w:rsid w:val="004F2B4C"/>
    <w:rsid w:val="004F3795"/>
    <w:rsid w:val="004F3D07"/>
    <w:rsid w:val="004F4261"/>
    <w:rsid w:val="004F4E90"/>
    <w:rsid w:val="004F501E"/>
    <w:rsid w:val="004F52B9"/>
    <w:rsid w:val="004F52FF"/>
    <w:rsid w:val="004F5591"/>
    <w:rsid w:val="004F6218"/>
    <w:rsid w:val="004F6E83"/>
    <w:rsid w:val="004F6FD6"/>
    <w:rsid w:val="004F7858"/>
    <w:rsid w:val="004F7AE3"/>
    <w:rsid w:val="005004DC"/>
    <w:rsid w:val="00500712"/>
    <w:rsid w:val="0050088C"/>
    <w:rsid w:val="0050093E"/>
    <w:rsid w:val="00500F91"/>
    <w:rsid w:val="0050110A"/>
    <w:rsid w:val="00501256"/>
    <w:rsid w:val="00501AA1"/>
    <w:rsid w:val="005033D6"/>
    <w:rsid w:val="00503452"/>
    <w:rsid w:val="0050360D"/>
    <w:rsid w:val="00504C59"/>
    <w:rsid w:val="00505698"/>
    <w:rsid w:val="0050696A"/>
    <w:rsid w:val="005070FF"/>
    <w:rsid w:val="00507203"/>
    <w:rsid w:val="005074E8"/>
    <w:rsid w:val="00510A5D"/>
    <w:rsid w:val="00510AFB"/>
    <w:rsid w:val="005112F9"/>
    <w:rsid w:val="0051141B"/>
    <w:rsid w:val="005118D5"/>
    <w:rsid w:val="00511B83"/>
    <w:rsid w:val="00512928"/>
    <w:rsid w:val="00512E19"/>
    <w:rsid w:val="00512ED1"/>
    <w:rsid w:val="0051301B"/>
    <w:rsid w:val="00513D71"/>
    <w:rsid w:val="005142B2"/>
    <w:rsid w:val="00514F4D"/>
    <w:rsid w:val="00515B14"/>
    <w:rsid w:val="005162E8"/>
    <w:rsid w:val="005166A1"/>
    <w:rsid w:val="00517187"/>
    <w:rsid w:val="0051771B"/>
    <w:rsid w:val="0052023D"/>
    <w:rsid w:val="00520D95"/>
    <w:rsid w:val="00520E05"/>
    <w:rsid w:val="00520FB9"/>
    <w:rsid w:val="00521291"/>
    <w:rsid w:val="005218E5"/>
    <w:rsid w:val="00522717"/>
    <w:rsid w:val="00522A17"/>
    <w:rsid w:val="005230CF"/>
    <w:rsid w:val="005230EB"/>
    <w:rsid w:val="00523151"/>
    <w:rsid w:val="00523718"/>
    <w:rsid w:val="00523937"/>
    <w:rsid w:val="00523EC3"/>
    <w:rsid w:val="00523F1C"/>
    <w:rsid w:val="0052409B"/>
    <w:rsid w:val="0052478D"/>
    <w:rsid w:val="00524EFC"/>
    <w:rsid w:val="00525025"/>
    <w:rsid w:val="00525203"/>
    <w:rsid w:val="00525378"/>
    <w:rsid w:val="005254EF"/>
    <w:rsid w:val="00525939"/>
    <w:rsid w:val="00525ED4"/>
    <w:rsid w:val="00526861"/>
    <w:rsid w:val="00526B06"/>
    <w:rsid w:val="005273A9"/>
    <w:rsid w:val="00527B58"/>
    <w:rsid w:val="0053016E"/>
    <w:rsid w:val="00530CD9"/>
    <w:rsid w:val="00531891"/>
    <w:rsid w:val="005319BA"/>
    <w:rsid w:val="00531D36"/>
    <w:rsid w:val="0053229F"/>
    <w:rsid w:val="00532472"/>
    <w:rsid w:val="00532A66"/>
    <w:rsid w:val="005331A0"/>
    <w:rsid w:val="00533237"/>
    <w:rsid w:val="005332FE"/>
    <w:rsid w:val="0053367E"/>
    <w:rsid w:val="005338BE"/>
    <w:rsid w:val="00534B91"/>
    <w:rsid w:val="00534CB7"/>
    <w:rsid w:val="00535049"/>
    <w:rsid w:val="0053542C"/>
    <w:rsid w:val="005354D8"/>
    <w:rsid w:val="00535D48"/>
    <w:rsid w:val="00535E3B"/>
    <w:rsid w:val="005362D1"/>
    <w:rsid w:val="00537064"/>
    <w:rsid w:val="00537964"/>
    <w:rsid w:val="00537A9F"/>
    <w:rsid w:val="00537D18"/>
    <w:rsid w:val="00540490"/>
    <w:rsid w:val="00540961"/>
    <w:rsid w:val="0054098A"/>
    <w:rsid w:val="00540B39"/>
    <w:rsid w:val="00541405"/>
    <w:rsid w:val="00541488"/>
    <w:rsid w:val="00541EE7"/>
    <w:rsid w:val="00542206"/>
    <w:rsid w:val="00542907"/>
    <w:rsid w:val="00542E29"/>
    <w:rsid w:val="005431CB"/>
    <w:rsid w:val="005431CF"/>
    <w:rsid w:val="005438D1"/>
    <w:rsid w:val="0054407D"/>
    <w:rsid w:val="0054481F"/>
    <w:rsid w:val="005450D5"/>
    <w:rsid w:val="00545C8A"/>
    <w:rsid w:val="00545D86"/>
    <w:rsid w:val="00546376"/>
    <w:rsid w:val="00546A4C"/>
    <w:rsid w:val="005479CD"/>
    <w:rsid w:val="00550521"/>
    <w:rsid w:val="00550738"/>
    <w:rsid w:val="005514FE"/>
    <w:rsid w:val="00551505"/>
    <w:rsid w:val="005516D9"/>
    <w:rsid w:val="00551CC9"/>
    <w:rsid w:val="00552A36"/>
    <w:rsid w:val="00552D4C"/>
    <w:rsid w:val="00553624"/>
    <w:rsid w:val="00554DDF"/>
    <w:rsid w:val="0055506A"/>
    <w:rsid w:val="00555AAD"/>
    <w:rsid w:val="0055610E"/>
    <w:rsid w:val="0055618E"/>
    <w:rsid w:val="005562F7"/>
    <w:rsid w:val="00556305"/>
    <w:rsid w:val="005567D2"/>
    <w:rsid w:val="00556C73"/>
    <w:rsid w:val="00556FCD"/>
    <w:rsid w:val="00557171"/>
    <w:rsid w:val="00560912"/>
    <w:rsid w:val="00560B0D"/>
    <w:rsid w:val="005611A1"/>
    <w:rsid w:val="0056187B"/>
    <w:rsid w:val="00561943"/>
    <w:rsid w:val="00562A89"/>
    <w:rsid w:val="00562C97"/>
    <w:rsid w:val="0056350F"/>
    <w:rsid w:val="00563752"/>
    <w:rsid w:val="0056529F"/>
    <w:rsid w:val="005655A5"/>
    <w:rsid w:val="005655C9"/>
    <w:rsid w:val="0056578A"/>
    <w:rsid w:val="00565CB7"/>
    <w:rsid w:val="005661C6"/>
    <w:rsid w:val="00566395"/>
    <w:rsid w:val="005666FD"/>
    <w:rsid w:val="0056788A"/>
    <w:rsid w:val="00567B94"/>
    <w:rsid w:val="00570401"/>
    <w:rsid w:val="00570945"/>
    <w:rsid w:val="005709D4"/>
    <w:rsid w:val="00570E2A"/>
    <w:rsid w:val="00571272"/>
    <w:rsid w:val="005719C3"/>
    <w:rsid w:val="00571A81"/>
    <w:rsid w:val="00573A45"/>
    <w:rsid w:val="00573A65"/>
    <w:rsid w:val="0057477E"/>
    <w:rsid w:val="00574990"/>
    <w:rsid w:val="00574A59"/>
    <w:rsid w:val="00575C04"/>
    <w:rsid w:val="005760B9"/>
    <w:rsid w:val="0057644B"/>
    <w:rsid w:val="00576639"/>
    <w:rsid w:val="0057668D"/>
    <w:rsid w:val="00576AE7"/>
    <w:rsid w:val="00576F00"/>
    <w:rsid w:val="00577E07"/>
    <w:rsid w:val="00577F85"/>
    <w:rsid w:val="0058076F"/>
    <w:rsid w:val="005808E7"/>
    <w:rsid w:val="005816ED"/>
    <w:rsid w:val="00582628"/>
    <w:rsid w:val="00582696"/>
    <w:rsid w:val="0058296A"/>
    <w:rsid w:val="00582B04"/>
    <w:rsid w:val="0058347A"/>
    <w:rsid w:val="00583F77"/>
    <w:rsid w:val="00585307"/>
    <w:rsid w:val="0058577B"/>
    <w:rsid w:val="00585859"/>
    <w:rsid w:val="00585B0D"/>
    <w:rsid w:val="00586383"/>
    <w:rsid w:val="005864C8"/>
    <w:rsid w:val="00586EB1"/>
    <w:rsid w:val="00587AB1"/>
    <w:rsid w:val="00587CDB"/>
    <w:rsid w:val="00587F54"/>
    <w:rsid w:val="005901F6"/>
    <w:rsid w:val="00590415"/>
    <w:rsid w:val="00590BF7"/>
    <w:rsid w:val="00590D0D"/>
    <w:rsid w:val="00590EBB"/>
    <w:rsid w:val="00590FAE"/>
    <w:rsid w:val="005919D7"/>
    <w:rsid w:val="00592926"/>
    <w:rsid w:val="00592FC8"/>
    <w:rsid w:val="005931EB"/>
    <w:rsid w:val="0059351C"/>
    <w:rsid w:val="005943D8"/>
    <w:rsid w:val="0059457E"/>
    <w:rsid w:val="00594A35"/>
    <w:rsid w:val="00594E1F"/>
    <w:rsid w:val="00594EA8"/>
    <w:rsid w:val="005950E6"/>
    <w:rsid w:val="00595546"/>
    <w:rsid w:val="00595AF3"/>
    <w:rsid w:val="00595B2D"/>
    <w:rsid w:val="0059610E"/>
    <w:rsid w:val="00596AF3"/>
    <w:rsid w:val="00597305"/>
    <w:rsid w:val="00597844"/>
    <w:rsid w:val="00597C63"/>
    <w:rsid w:val="00597CB2"/>
    <w:rsid w:val="005A00C0"/>
    <w:rsid w:val="005A0511"/>
    <w:rsid w:val="005A0666"/>
    <w:rsid w:val="005A1975"/>
    <w:rsid w:val="005A1CDE"/>
    <w:rsid w:val="005A1D98"/>
    <w:rsid w:val="005A1EF6"/>
    <w:rsid w:val="005A20BB"/>
    <w:rsid w:val="005A2CB9"/>
    <w:rsid w:val="005A2ED5"/>
    <w:rsid w:val="005A3123"/>
    <w:rsid w:val="005A31CD"/>
    <w:rsid w:val="005A3778"/>
    <w:rsid w:val="005A3F72"/>
    <w:rsid w:val="005A405B"/>
    <w:rsid w:val="005A4B50"/>
    <w:rsid w:val="005A4BC5"/>
    <w:rsid w:val="005A4CAA"/>
    <w:rsid w:val="005A6A3B"/>
    <w:rsid w:val="005A707C"/>
    <w:rsid w:val="005A714E"/>
    <w:rsid w:val="005A72A6"/>
    <w:rsid w:val="005B094E"/>
    <w:rsid w:val="005B1101"/>
    <w:rsid w:val="005B17E6"/>
    <w:rsid w:val="005B1B29"/>
    <w:rsid w:val="005B1C52"/>
    <w:rsid w:val="005B1E3B"/>
    <w:rsid w:val="005B1F37"/>
    <w:rsid w:val="005B2026"/>
    <w:rsid w:val="005B29F2"/>
    <w:rsid w:val="005B2EF4"/>
    <w:rsid w:val="005B3280"/>
    <w:rsid w:val="005B3657"/>
    <w:rsid w:val="005B3660"/>
    <w:rsid w:val="005B3909"/>
    <w:rsid w:val="005B3AE2"/>
    <w:rsid w:val="005B4D1E"/>
    <w:rsid w:val="005B543D"/>
    <w:rsid w:val="005B5806"/>
    <w:rsid w:val="005B5C23"/>
    <w:rsid w:val="005B6412"/>
    <w:rsid w:val="005B7253"/>
    <w:rsid w:val="005B7A36"/>
    <w:rsid w:val="005C02BE"/>
    <w:rsid w:val="005C0D32"/>
    <w:rsid w:val="005C0EFA"/>
    <w:rsid w:val="005C1097"/>
    <w:rsid w:val="005C12FA"/>
    <w:rsid w:val="005C18CA"/>
    <w:rsid w:val="005C2059"/>
    <w:rsid w:val="005C23C8"/>
    <w:rsid w:val="005C302E"/>
    <w:rsid w:val="005C328F"/>
    <w:rsid w:val="005C3320"/>
    <w:rsid w:val="005C3724"/>
    <w:rsid w:val="005C431E"/>
    <w:rsid w:val="005C442A"/>
    <w:rsid w:val="005C4E75"/>
    <w:rsid w:val="005C4EB2"/>
    <w:rsid w:val="005C4FEC"/>
    <w:rsid w:val="005C555D"/>
    <w:rsid w:val="005C56FC"/>
    <w:rsid w:val="005C584B"/>
    <w:rsid w:val="005C5ACC"/>
    <w:rsid w:val="005C5C69"/>
    <w:rsid w:val="005C5DAC"/>
    <w:rsid w:val="005C5F50"/>
    <w:rsid w:val="005C6800"/>
    <w:rsid w:val="005C73DC"/>
    <w:rsid w:val="005C7B25"/>
    <w:rsid w:val="005D0BD4"/>
    <w:rsid w:val="005D18E4"/>
    <w:rsid w:val="005D1B9C"/>
    <w:rsid w:val="005D1E49"/>
    <w:rsid w:val="005D34FE"/>
    <w:rsid w:val="005D3A39"/>
    <w:rsid w:val="005D4544"/>
    <w:rsid w:val="005D4BD3"/>
    <w:rsid w:val="005D5240"/>
    <w:rsid w:val="005D5AE2"/>
    <w:rsid w:val="005D5CE8"/>
    <w:rsid w:val="005D672C"/>
    <w:rsid w:val="005D681A"/>
    <w:rsid w:val="005D6FDB"/>
    <w:rsid w:val="005D749F"/>
    <w:rsid w:val="005D7FE2"/>
    <w:rsid w:val="005E0061"/>
    <w:rsid w:val="005E057E"/>
    <w:rsid w:val="005E06DD"/>
    <w:rsid w:val="005E19AC"/>
    <w:rsid w:val="005E1CF3"/>
    <w:rsid w:val="005E1FB2"/>
    <w:rsid w:val="005E33F5"/>
    <w:rsid w:val="005E34CD"/>
    <w:rsid w:val="005E4025"/>
    <w:rsid w:val="005E416D"/>
    <w:rsid w:val="005E5195"/>
    <w:rsid w:val="005E5301"/>
    <w:rsid w:val="005E56E4"/>
    <w:rsid w:val="005E625A"/>
    <w:rsid w:val="005E6284"/>
    <w:rsid w:val="005E7530"/>
    <w:rsid w:val="005F047A"/>
    <w:rsid w:val="005F0C17"/>
    <w:rsid w:val="005F114B"/>
    <w:rsid w:val="005F1798"/>
    <w:rsid w:val="005F2171"/>
    <w:rsid w:val="005F2553"/>
    <w:rsid w:val="005F2A02"/>
    <w:rsid w:val="005F2BB6"/>
    <w:rsid w:val="005F2FD4"/>
    <w:rsid w:val="005F446F"/>
    <w:rsid w:val="005F5029"/>
    <w:rsid w:val="005F563A"/>
    <w:rsid w:val="005F5DB6"/>
    <w:rsid w:val="005F5E85"/>
    <w:rsid w:val="005F60BF"/>
    <w:rsid w:val="005F6D12"/>
    <w:rsid w:val="005F6E13"/>
    <w:rsid w:val="005F7308"/>
    <w:rsid w:val="005F7528"/>
    <w:rsid w:val="005F7968"/>
    <w:rsid w:val="005F7CC7"/>
    <w:rsid w:val="005F7F00"/>
    <w:rsid w:val="00600256"/>
    <w:rsid w:val="006007EB"/>
    <w:rsid w:val="0060103A"/>
    <w:rsid w:val="00601573"/>
    <w:rsid w:val="00601757"/>
    <w:rsid w:val="00601973"/>
    <w:rsid w:val="00604A12"/>
    <w:rsid w:val="00605829"/>
    <w:rsid w:val="006058BB"/>
    <w:rsid w:val="0060595C"/>
    <w:rsid w:val="00605C2D"/>
    <w:rsid w:val="00605C9D"/>
    <w:rsid w:val="00605CAA"/>
    <w:rsid w:val="00606266"/>
    <w:rsid w:val="00606615"/>
    <w:rsid w:val="0060662B"/>
    <w:rsid w:val="00606C6B"/>
    <w:rsid w:val="00607FA4"/>
    <w:rsid w:val="0061079D"/>
    <w:rsid w:val="00610B3D"/>
    <w:rsid w:val="00611864"/>
    <w:rsid w:val="00612142"/>
    <w:rsid w:val="00612651"/>
    <w:rsid w:val="00612915"/>
    <w:rsid w:val="00612F78"/>
    <w:rsid w:val="00613D95"/>
    <w:rsid w:val="006145FD"/>
    <w:rsid w:val="0061508A"/>
    <w:rsid w:val="006151B4"/>
    <w:rsid w:val="00615385"/>
    <w:rsid w:val="006153F2"/>
    <w:rsid w:val="00615572"/>
    <w:rsid w:val="00616342"/>
    <w:rsid w:val="00616A08"/>
    <w:rsid w:val="00616B86"/>
    <w:rsid w:val="00616F0D"/>
    <w:rsid w:val="00617CB4"/>
    <w:rsid w:val="00617D1F"/>
    <w:rsid w:val="00620085"/>
    <w:rsid w:val="00620277"/>
    <w:rsid w:val="006203DF"/>
    <w:rsid w:val="00620A28"/>
    <w:rsid w:val="006211A5"/>
    <w:rsid w:val="006213DD"/>
    <w:rsid w:val="006218DC"/>
    <w:rsid w:val="00621FFA"/>
    <w:rsid w:val="00622784"/>
    <w:rsid w:val="00623355"/>
    <w:rsid w:val="006235F5"/>
    <w:rsid w:val="0062433B"/>
    <w:rsid w:val="00624527"/>
    <w:rsid w:val="00624647"/>
    <w:rsid w:val="00624944"/>
    <w:rsid w:val="00624C6A"/>
    <w:rsid w:val="00625BB5"/>
    <w:rsid w:val="0062635A"/>
    <w:rsid w:val="00626D42"/>
    <w:rsid w:val="00626D70"/>
    <w:rsid w:val="00627391"/>
    <w:rsid w:val="006275A0"/>
    <w:rsid w:val="006303A7"/>
    <w:rsid w:val="00630950"/>
    <w:rsid w:val="00631625"/>
    <w:rsid w:val="00631E23"/>
    <w:rsid w:val="00631F1C"/>
    <w:rsid w:val="0063210A"/>
    <w:rsid w:val="006322D5"/>
    <w:rsid w:val="00632400"/>
    <w:rsid w:val="00632421"/>
    <w:rsid w:val="00632C78"/>
    <w:rsid w:val="006334C8"/>
    <w:rsid w:val="00633A47"/>
    <w:rsid w:val="00633CE7"/>
    <w:rsid w:val="00634601"/>
    <w:rsid w:val="00634826"/>
    <w:rsid w:val="00635501"/>
    <w:rsid w:val="00635648"/>
    <w:rsid w:val="00635D47"/>
    <w:rsid w:val="00635F73"/>
    <w:rsid w:val="00636365"/>
    <w:rsid w:val="006367D2"/>
    <w:rsid w:val="006370F0"/>
    <w:rsid w:val="006377CA"/>
    <w:rsid w:val="00637F9F"/>
    <w:rsid w:val="006405F7"/>
    <w:rsid w:val="006414D6"/>
    <w:rsid w:val="00641714"/>
    <w:rsid w:val="006418DA"/>
    <w:rsid w:val="006423A8"/>
    <w:rsid w:val="00642F82"/>
    <w:rsid w:val="00643516"/>
    <w:rsid w:val="006436AD"/>
    <w:rsid w:val="00643F95"/>
    <w:rsid w:val="00644200"/>
    <w:rsid w:val="006442A6"/>
    <w:rsid w:val="00644773"/>
    <w:rsid w:val="00645420"/>
    <w:rsid w:val="006455C5"/>
    <w:rsid w:val="00645E52"/>
    <w:rsid w:val="00646924"/>
    <w:rsid w:val="00646A03"/>
    <w:rsid w:val="00646C4D"/>
    <w:rsid w:val="00646DC4"/>
    <w:rsid w:val="0064796A"/>
    <w:rsid w:val="00647E1F"/>
    <w:rsid w:val="006504C6"/>
    <w:rsid w:val="0065061A"/>
    <w:rsid w:val="00650C5E"/>
    <w:rsid w:val="00650DD4"/>
    <w:rsid w:val="00650DFC"/>
    <w:rsid w:val="006510C4"/>
    <w:rsid w:val="0065166C"/>
    <w:rsid w:val="00651B44"/>
    <w:rsid w:val="006524D6"/>
    <w:rsid w:val="00653193"/>
    <w:rsid w:val="00653A74"/>
    <w:rsid w:val="00654034"/>
    <w:rsid w:val="0065417C"/>
    <w:rsid w:val="0065441A"/>
    <w:rsid w:val="0065447F"/>
    <w:rsid w:val="006544DE"/>
    <w:rsid w:val="0065458F"/>
    <w:rsid w:val="00654917"/>
    <w:rsid w:val="0065519B"/>
    <w:rsid w:val="0065611A"/>
    <w:rsid w:val="00656DA3"/>
    <w:rsid w:val="00656FAA"/>
    <w:rsid w:val="006578C6"/>
    <w:rsid w:val="00657F01"/>
    <w:rsid w:val="006611D0"/>
    <w:rsid w:val="0066122F"/>
    <w:rsid w:val="006615CB"/>
    <w:rsid w:val="006617A6"/>
    <w:rsid w:val="00661801"/>
    <w:rsid w:val="00661DD4"/>
    <w:rsid w:val="006627B2"/>
    <w:rsid w:val="00662D5D"/>
    <w:rsid w:val="006630FC"/>
    <w:rsid w:val="006634C8"/>
    <w:rsid w:val="006634E0"/>
    <w:rsid w:val="00663882"/>
    <w:rsid w:val="006639B2"/>
    <w:rsid w:val="006642D3"/>
    <w:rsid w:val="006648CA"/>
    <w:rsid w:val="0066492F"/>
    <w:rsid w:val="00664A9C"/>
    <w:rsid w:val="00664C76"/>
    <w:rsid w:val="00664D96"/>
    <w:rsid w:val="00664EFF"/>
    <w:rsid w:val="00664FA7"/>
    <w:rsid w:val="00665048"/>
    <w:rsid w:val="0066593E"/>
    <w:rsid w:val="0066621D"/>
    <w:rsid w:val="00666DA1"/>
    <w:rsid w:val="00667179"/>
    <w:rsid w:val="00667395"/>
    <w:rsid w:val="00667606"/>
    <w:rsid w:val="0066779B"/>
    <w:rsid w:val="00667EA8"/>
    <w:rsid w:val="00670001"/>
    <w:rsid w:val="0067002C"/>
    <w:rsid w:val="0067073F"/>
    <w:rsid w:val="00670E7E"/>
    <w:rsid w:val="006716F9"/>
    <w:rsid w:val="006718C6"/>
    <w:rsid w:val="00671D54"/>
    <w:rsid w:val="00671F20"/>
    <w:rsid w:val="00671F27"/>
    <w:rsid w:val="00672C50"/>
    <w:rsid w:val="00672EC7"/>
    <w:rsid w:val="00672FD0"/>
    <w:rsid w:val="00673701"/>
    <w:rsid w:val="0067399D"/>
    <w:rsid w:val="00673D53"/>
    <w:rsid w:val="006742C3"/>
    <w:rsid w:val="00674DF8"/>
    <w:rsid w:val="006752F7"/>
    <w:rsid w:val="00675721"/>
    <w:rsid w:val="00676110"/>
    <w:rsid w:val="00676517"/>
    <w:rsid w:val="00676A47"/>
    <w:rsid w:val="00676B3B"/>
    <w:rsid w:val="00676EF4"/>
    <w:rsid w:val="00677053"/>
    <w:rsid w:val="00677084"/>
    <w:rsid w:val="006771B9"/>
    <w:rsid w:val="00677930"/>
    <w:rsid w:val="00677A55"/>
    <w:rsid w:val="00680268"/>
    <w:rsid w:val="00680C50"/>
    <w:rsid w:val="00680DEF"/>
    <w:rsid w:val="00681242"/>
    <w:rsid w:val="00681741"/>
    <w:rsid w:val="00682C66"/>
    <w:rsid w:val="00682CB0"/>
    <w:rsid w:val="006836BF"/>
    <w:rsid w:val="00683789"/>
    <w:rsid w:val="00684A94"/>
    <w:rsid w:val="00684F61"/>
    <w:rsid w:val="006852B4"/>
    <w:rsid w:val="0068544C"/>
    <w:rsid w:val="00685EA3"/>
    <w:rsid w:val="006861DE"/>
    <w:rsid w:val="00686333"/>
    <w:rsid w:val="0068639B"/>
    <w:rsid w:val="00687154"/>
    <w:rsid w:val="00687D70"/>
    <w:rsid w:val="006900CE"/>
    <w:rsid w:val="006909B7"/>
    <w:rsid w:val="00691058"/>
    <w:rsid w:val="00691511"/>
    <w:rsid w:val="006917E5"/>
    <w:rsid w:val="006918DA"/>
    <w:rsid w:val="006919F4"/>
    <w:rsid w:val="00691D22"/>
    <w:rsid w:val="006926A3"/>
    <w:rsid w:val="00692774"/>
    <w:rsid w:val="006929BA"/>
    <w:rsid w:val="00692D2D"/>
    <w:rsid w:val="006932D3"/>
    <w:rsid w:val="0069388F"/>
    <w:rsid w:val="00693CF2"/>
    <w:rsid w:val="006940B2"/>
    <w:rsid w:val="006942A5"/>
    <w:rsid w:val="00694B98"/>
    <w:rsid w:val="00694CBD"/>
    <w:rsid w:val="00694E08"/>
    <w:rsid w:val="0069588D"/>
    <w:rsid w:val="006959F2"/>
    <w:rsid w:val="00695A2B"/>
    <w:rsid w:val="006964A8"/>
    <w:rsid w:val="00696E6E"/>
    <w:rsid w:val="00696F7B"/>
    <w:rsid w:val="00697391"/>
    <w:rsid w:val="0069787E"/>
    <w:rsid w:val="006979CC"/>
    <w:rsid w:val="00697DF0"/>
    <w:rsid w:val="006A07F1"/>
    <w:rsid w:val="006A0867"/>
    <w:rsid w:val="006A1F18"/>
    <w:rsid w:val="006A2E2C"/>
    <w:rsid w:val="006A31B7"/>
    <w:rsid w:val="006A3DC0"/>
    <w:rsid w:val="006A42FE"/>
    <w:rsid w:val="006A4853"/>
    <w:rsid w:val="006A4E91"/>
    <w:rsid w:val="006A5411"/>
    <w:rsid w:val="006A54A7"/>
    <w:rsid w:val="006A59C5"/>
    <w:rsid w:val="006A5C35"/>
    <w:rsid w:val="006A6E6D"/>
    <w:rsid w:val="006A722F"/>
    <w:rsid w:val="006A724E"/>
    <w:rsid w:val="006A730E"/>
    <w:rsid w:val="006A7B18"/>
    <w:rsid w:val="006B00D3"/>
    <w:rsid w:val="006B2401"/>
    <w:rsid w:val="006B2434"/>
    <w:rsid w:val="006B29DA"/>
    <w:rsid w:val="006B307D"/>
    <w:rsid w:val="006B4148"/>
    <w:rsid w:val="006B44BE"/>
    <w:rsid w:val="006B45AC"/>
    <w:rsid w:val="006B4840"/>
    <w:rsid w:val="006B5831"/>
    <w:rsid w:val="006B5A24"/>
    <w:rsid w:val="006B5EBB"/>
    <w:rsid w:val="006B639E"/>
    <w:rsid w:val="006B6557"/>
    <w:rsid w:val="006B7C80"/>
    <w:rsid w:val="006C0155"/>
    <w:rsid w:val="006C08BD"/>
    <w:rsid w:val="006C0D24"/>
    <w:rsid w:val="006C1320"/>
    <w:rsid w:val="006C15F3"/>
    <w:rsid w:val="006C1B8D"/>
    <w:rsid w:val="006C1E93"/>
    <w:rsid w:val="006C2820"/>
    <w:rsid w:val="006C3023"/>
    <w:rsid w:val="006C348A"/>
    <w:rsid w:val="006C41BA"/>
    <w:rsid w:val="006C4AC0"/>
    <w:rsid w:val="006C54FD"/>
    <w:rsid w:val="006C72B5"/>
    <w:rsid w:val="006C7BDB"/>
    <w:rsid w:val="006C7F2E"/>
    <w:rsid w:val="006D13CE"/>
    <w:rsid w:val="006D1CF4"/>
    <w:rsid w:val="006D23C9"/>
    <w:rsid w:val="006D2867"/>
    <w:rsid w:val="006D2E50"/>
    <w:rsid w:val="006D34B4"/>
    <w:rsid w:val="006D38B0"/>
    <w:rsid w:val="006D3B40"/>
    <w:rsid w:val="006D3CEB"/>
    <w:rsid w:val="006D40F3"/>
    <w:rsid w:val="006D44C6"/>
    <w:rsid w:val="006D4DB9"/>
    <w:rsid w:val="006D5021"/>
    <w:rsid w:val="006D5118"/>
    <w:rsid w:val="006D58F6"/>
    <w:rsid w:val="006D5EF1"/>
    <w:rsid w:val="006D60D0"/>
    <w:rsid w:val="006D6201"/>
    <w:rsid w:val="006D6683"/>
    <w:rsid w:val="006D66CE"/>
    <w:rsid w:val="006D6C74"/>
    <w:rsid w:val="006D78C2"/>
    <w:rsid w:val="006D7CC8"/>
    <w:rsid w:val="006E05A3"/>
    <w:rsid w:val="006E0C4A"/>
    <w:rsid w:val="006E146C"/>
    <w:rsid w:val="006E1BAF"/>
    <w:rsid w:val="006E1D9A"/>
    <w:rsid w:val="006E24E2"/>
    <w:rsid w:val="006E2D65"/>
    <w:rsid w:val="006E2FD0"/>
    <w:rsid w:val="006E2FD3"/>
    <w:rsid w:val="006E30DB"/>
    <w:rsid w:val="006E39CF"/>
    <w:rsid w:val="006E3DF5"/>
    <w:rsid w:val="006E4535"/>
    <w:rsid w:val="006E4618"/>
    <w:rsid w:val="006E4BAF"/>
    <w:rsid w:val="006E55EA"/>
    <w:rsid w:val="006E56C8"/>
    <w:rsid w:val="006E5FF0"/>
    <w:rsid w:val="006E6054"/>
    <w:rsid w:val="006E60A7"/>
    <w:rsid w:val="006E662D"/>
    <w:rsid w:val="006E6B93"/>
    <w:rsid w:val="006E7269"/>
    <w:rsid w:val="006E7601"/>
    <w:rsid w:val="006E760E"/>
    <w:rsid w:val="006F02C8"/>
    <w:rsid w:val="006F098F"/>
    <w:rsid w:val="006F09BA"/>
    <w:rsid w:val="006F1AFD"/>
    <w:rsid w:val="006F1F34"/>
    <w:rsid w:val="006F2002"/>
    <w:rsid w:val="006F2080"/>
    <w:rsid w:val="006F2DFF"/>
    <w:rsid w:val="006F337E"/>
    <w:rsid w:val="006F35E2"/>
    <w:rsid w:val="006F3B65"/>
    <w:rsid w:val="006F407C"/>
    <w:rsid w:val="006F43D7"/>
    <w:rsid w:val="006F4707"/>
    <w:rsid w:val="006F4C7E"/>
    <w:rsid w:val="006F4FFC"/>
    <w:rsid w:val="006F5290"/>
    <w:rsid w:val="006F52F8"/>
    <w:rsid w:val="006F5453"/>
    <w:rsid w:val="006F5B3C"/>
    <w:rsid w:val="006F5F37"/>
    <w:rsid w:val="006F6692"/>
    <w:rsid w:val="006F6C2B"/>
    <w:rsid w:val="006F71E4"/>
    <w:rsid w:val="006F7833"/>
    <w:rsid w:val="00700003"/>
    <w:rsid w:val="007000CA"/>
    <w:rsid w:val="00700DB4"/>
    <w:rsid w:val="007010F9"/>
    <w:rsid w:val="007017FA"/>
    <w:rsid w:val="00701C97"/>
    <w:rsid w:val="00701DE9"/>
    <w:rsid w:val="007022A4"/>
    <w:rsid w:val="0070260B"/>
    <w:rsid w:val="00702C15"/>
    <w:rsid w:val="0070345A"/>
    <w:rsid w:val="00703889"/>
    <w:rsid w:val="00703A3B"/>
    <w:rsid w:val="00704123"/>
    <w:rsid w:val="00704899"/>
    <w:rsid w:val="00704D19"/>
    <w:rsid w:val="00704E97"/>
    <w:rsid w:val="0070512C"/>
    <w:rsid w:val="007058BC"/>
    <w:rsid w:val="00705938"/>
    <w:rsid w:val="00706823"/>
    <w:rsid w:val="007068FA"/>
    <w:rsid w:val="007069CB"/>
    <w:rsid w:val="00706AD6"/>
    <w:rsid w:val="007073F6"/>
    <w:rsid w:val="00707B58"/>
    <w:rsid w:val="007103D6"/>
    <w:rsid w:val="00711124"/>
    <w:rsid w:val="00711599"/>
    <w:rsid w:val="007116AA"/>
    <w:rsid w:val="00711AAB"/>
    <w:rsid w:val="00711B23"/>
    <w:rsid w:val="00711BFA"/>
    <w:rsid w:val="00711D75"/>
    <w:rsid w:val="00712074"/>
    <w:rsid w:val="00712A91"/>
    <w:rsid w:val="00712B2F"/>
    <w:rsid w:val="00712E63"/>
    <w:rsid w:val="00713FB3"/>
    <w:rsid w:val="007141AE"/>
    <w:rsid w:val="00714C2E"/>
    <w:rsid w:val="00714D4A"/>
    <w:rsid w:val="00715152"/>
    <w:rsid w:val="00715C66"/>
    <w:rsid w:val="00715F78"/>
    <w:rsid w:val="00716BA0"/>
    <w:rsid w:val="0071733A"/>
    <w:rsid w:val="00717A36"/>
    <w:rsid w:val="00720B38"/>
    <w:rsid w:val="00720E44"/>
    <w:rsid w:val="007214ED"/>
    <w:rsid w:val="007219B7"/>
    <w:rsid w:val="007224C0"/>
    <w:rsid w:val="00722818"/>
    <w:rsid w:val="0072288C"/>
    <w:rsid w:val="00722AF6"/>
    <w:rsid w:val="007232EC"/>
    <w:rsid w:val="0072358D"/>
    <w:rsid w:val="00724AA2"/>
    <w:rsid w:val="007250C3"/>
    <w:rsid w:val="007251F6"/>
    <w:rsid w:val="00725208"/>
    <w:rsid w:val="00725B72"/>
    <w:rsid w:val="00725C22"/>
    <w:rsid w:val="00725C53"/>
    <w:rsid w:val="00725EF7"/>
    <w:rsid w:val="007269E6"/>
    <w:rsid w:val="00726AC2"/>
    <w:rsid w:val="00726FA7"/>
    <w:rsid w:val="00727015"/>
    <w:rsid w:val="00727B80"/>
    <w:rsid w:val="00727C42"/>
    <w:rsid w:val="00730A6A"/>
    <w:rsid w:val="00730C66"/>
    <w:rsid w:val="00730D47"/>
    <w:rsid w:val="0073106B"/>
    <w:rsid w:val="0073143B"/>
    <w:rsid w:val="00731E7D"/>
    <w:rsid w:val="00731F38"/>
    <w:rsid w:val="00732E3E"/>
    <w:rsid w:val="00733A96"/>
    <w:rsid w:val="00734068"/>
    <w:rsid w:val="0073417B"/>
    <w:rsid w:val="00734198"/>
    <w:rsid w:val="00734340"/>
    <w:rsid w:val="00734439"/>
    <w:rsid w:val="00734665"/>
    <w:rsid w:val="00735203"/>
    <w:rsid w:val="00735A5B"/>
    <w:rsid w:val="00735C61"/>
    <w:rsid w:val="0073613D"/>
    <w:rsid w:val="0073616E"/>
    <w:rsid w:val="007365CB"/>
    <w:rsid w:val="00736833"/>
    <w:rsid w:val="007368BE"/>
    <w:rsid w:val="00736DE6"/>
    <w:rsid w:val="00736DFA"/>
    <w:rsid w:val="0073704A"/>
    <w:rsid w:val="0073755D"/>
    <w:rsid w:val="00737BEF"/>
    <w:rsid w:val="00740D69"/>
    <w:rsid w:val="007419DC"/>
    <w:rsid w:val="00741C97"/>
    <w:rsid w:val="00742991"/>
    <w:rsid w:val="0074419E"/>
    <w:rsid w:val="007444C0"/>
    <w:rsid w:val="00744714"/>
    <w:rsid w:val="007449B8"/>
    <w:rsid w:val="00744DFD"/>
    <w:rsid w:val="0074512F"/>
    <w:rsid w:val="007455B4"/>
    <w:rsid w:val="00745884"/>
    <w:rsid w:val="00745C7C"/>
    <w:rsid w:val="00746319"/>
    <w:rsid w:val="0074658E"/>
    <w:rsid w:val="007466C3"/>
    <w:rsid w:val="00746911"/>
    <w:rsid w:val="00746B60"/>
    <w:rsid w:val="00746FB2"/>
    <w:rsid w:val="00747B36"/>
    <w:rsid w:val="00747CDF"/>
    <w:rsid w:val="00750D0A"/>
    <w:rsid w:val="00750E19"/>
    <w:rsid w:val="007512A0"/>
    <w:rsid w:val="00751433"/>
    <w:rsid w:val="007521B7"/>
    <w:rsid w:val="007522E9"/>
    <w:rsid w:val="00752E44"/>
    <w:rsid w:val="00752F42"/>
    <w:rsid w:val="007539AF"/>
    <w:rsid w:val="007545B7"/>
    <w:rsid w:val="007547B9"/>
    <w:rsid w:val="007548FC"/>
    <w:rsid w:val="00754F11"/>
    <w:rsid w:val="00754F97"/>
    <w:rsid w:val="00755F0E"/>
    <w:rsid w:val="007562B8"/>
    <w:rsid w:val="00757417"/>
    <w:rsid w:val="007579C5"/>
    <w:rsid w:val="00757C81"/>
    <w:rsid w:val="007602FD"/>
    <w:rsid w:val="00760504"/>
    <w:rsid w:val="0076089F"/>
    <w:rsid w:val="00761D80"/>
    <w:rsid w:val="00762273"/>
    <w:rsid w:val="00762A04"/>
    <w:rsid w:val="00763C3D"/>
    <w:rsid w:val="00763DFE"/>
    <w:rsid w:val="00764A08"/>
    <w:rsid w:val="0076542D"/>
    <w:rsid w:val="00765466"/>
    <w:rsid w:val="0076594C"/>
    <w:rsid w:val="00765E75"/>
    <w:rsid w:val="00765E81"/>
    <w:rsid w:val="00765EE3"/>
    <w:rsid w:val="00766138"/>
    <w:rsid w:val="00766159"/>
    <w:rsid w:val="00766363"/>
    <w:rsid w:val="00766E55"/>
    <w:rsid w:val="00767930"/>
    <w:rsid w:val="00767F28"/>
    <w:rsid w:val="00767FB9"/>
    <w:rsid w:val="007707A9"/>
    <w:rsid w:val="007709A7"/>
    <w:rsid w:val="00770A7E"/>
    <w:rsid w:val="00772189"/>
    <w:rsid w:val="00772DEA"/>
    <w:rsid w:val="00773BEA"/>
    <w:rsid w:val="00773DC2"/>
    <w:rsid w:val="0077414C"/>
    <w:rsid w:val="0077441A"/>
    <w:rsid w:val="00774B09"/>
    <w:rsid w:val="00774C59"/>
    <w:rsid w:val="00774D34"/>
    <w:rsid w:val="00775242"/>
    <w:rsid w:val="007758EB"/>
    <w:rsid w:val="00775A39"/>
    <w:rsid w:val="00775A6E"/>
    <w:rsid w:val="00775CB9"/>
    <w:rsid w:val="00776322"/>
    <w:rsid w:val="007768DE"/>
    <w:rsid w:val="00776C3B"/>
    <w:rsid w:val="00776EFB"/>
    <w:rsid w:val="00776F55"/>
    <w:rsid w:val="007775E3"/>
    <w:rsid w:val="0078003F"/>
    <w:rsid w:val="007800A3"/>
    <w:rsid w:val="00780771"/>
    <w:rsid w:val="007808D2"/>
    <w:rsid w:val="00780A94"/>
    <w:rsid w:val="00781024"/>
    <w:rsid w:val="00781B69"/>
    <w:rsid w:val="00781EE4"/>
    <w:rsid w:val="00782067"/>
    <w:rsid w:val="007823D8"/>
    <w:rsid w:val="00782EC7"/>
    <w:rsid w:val="0078434D"/>
    <w:rsid w:val="00785784"/>
    <w:rsid w:val="00785A0B"/>
    <w:rsid w:val="00785D64"/>
    <w:rsid w:val="0078679E"/>
    <w:rsid w:val="00786F18"/>
    <w:rsid w:val="00787798"/>
    <w:rsid w:val="00787947"/>
    <w:rsid w:val="0079036A"/>
    <w:rsid w:val="007905DB"/>
    <w:rsid w:val="00791A97"/>
    <w:rsid w:val="00791F28"/>
    <w:rsid w:val="00792462"/>
    <w:rsid w:val="00792477"/>
    <w:rsid w:val="007926BB"/>
    <w:rsid w:val="007928D1"/>
    <w:rsid w:val="00792D94"/>
    <w:rsid w:val="00793A5B"/>
    <w:rsid w:val="00794475"/>
    <w:rsid w:val="00794E39"/>
    <w:rsid w:val="00795109"/>
    <w:rsid w:val="007958AF"/>
    <w:rsid w:val="007962B7"/>
    <w:rsid w:val="0079645D"/>
    <w:rsid w:val="00797124"/>
    <w:rsid w:val="007978C3"/>
    <w:rsid w:val="007A0076"/>
    <w:rsid w:val="007A0170"/>
    <w:rsid w:val="007A0299"/>
    <w:rsid w:val="007A0A71"/>
    <w:rsid w:val="007A0C1E"/>
    <w:rsid w:val="007A0DCA"/>
    <w:rsid w:val="007A0FD9"/>
    <w:rsid w:val="007A1051"/>
    <w:rsid w:val="007A109C"/>
    <w:rsid w:val="007A1209"/>
    <w:rsid w:val="007A17E4"/>
    <w:rsid w:val="007A19F1"/>
    <w:rsid w:val="007A2085"/>
    <w:rsid w:val="007A213E"/>
    <w:rsid w:val="007A2449"/>
    <w:rsid w:val="007A2461"/>
    <w:rsid w:val="007A3ADA"/>
    <w:rsid w:val="007A3B0F"/>
    <w:rsid w:val="007A42FE"/>
    <w:rsid w:val="007A499E"/>
    <w:rsid w:val="007A49FD"/>
    <w:rsid w:val="007A507C"/>
    <w:rsid w:val="007A5A19"/>
    <w:rsid w:val="007A5DCC"/>
    <w:rsid w:val="007A6106"/>
    <w:rsid w:val="007A65BD"/>
    <w:rsid w:val="007A7B99"/>
    <w:rsid w:val="007B04D4"/>
    <w:rsid w:val="007B0736"/>
    <w:rsid w:val="007B15B1"/>
    <w:rsid w:val="007B1DEF"/>
    <w:rsid w:val="007B2CBC"/>
    <w:rsid w:val="007B2E47"/>
    <w:rsid w:val="007B39EB"/>
    <w:rsid w:val="007B4143"/>
    <w:rsid w:val="007B4201"/>
    <w:rsid w:val="007B4F09"/>
    <w:rsid w:val="007B5240"/>
    <w:rsid w:val="007B7977"/>
    <w:rsid w:val="007B79B2"/>
    <w:rsid w:val="007C2234"/>
    <w:rsid w:val="007C249D"/>
    <w:rsid w:val="007C27D3"/>
    <w:rsid w:val="007C3F40"/>
    <w:rsid w:val="007C4236"/>
    <w:rsid w:val="007C4706"/>
    <w:rsid w:val="007C4766"/>
    <w:rsid w:val="007C6315"/>
    <w:rsid w:val="007C649F"/>
    <w:rsid w:val="007C72A8"/>
    <w:rsid w:val="007C748E"/>
    <w:rsid w:val="007C797B"/>
    <w:rsid w:val="007C7AAD"/>
    <w:rsid w:val="007D0223"/>
    <w:rsid w:val="007D038B"/>
    <w:rsid w:val="007D0425"/>
    <w:rsid w:val="007D11EE"/>
    <w:rsid w:val="007D28E5"/>
    <w:rsid w:val="007D41FF"/>
    <w:rsid w:val="007D43FF"/>
    <w:rsid w:val="007D482D"/>
    <w:rsid w:val="007D4A1B"/>
    <w:rsid w:val="007D4BB8"/>
    <w:rsid w:val="007D50C6"/>
    <w:rsid w:val="007D53F1"/>
    <w:rsid w:val="007D562A"/>
    <w:rsid w:val="007D5A97"/>
    <w:rsid w:val="007D5B31"/>
    <w:rsid w:val="007D69B5"/>
    <w:rsid w:val="007D7075"/>
    <w:rsid w:val="007D74EA"/>
    <w:rsid w:val="007D7A0C"/>
    <w:rsid w:val="007D7CC7"/>
    <w:rsid w:val="007D7E51"/>
    <w:rsid w:val="007E0312"/>
    <w:rsid w:val="007E0513"/>
    <w:rsid w:val="007E05EE"/>
    <w:rsid w:val="007E0738"/>
    <w:rsid w:val="007E0807"/>
    <w:rsid w:val="007E1F78"/>
    <w:rsid w:val="007E448A"/>
    <w:rsid w:val="007E4873"/>
    <w:rsid w:val="007E49B0"/>
    <w:rsid w:val="007E4BAA"/>
    <w:rsid w:val="007E504E"/>
    <w:rsid w:val="007E51F3"/>
    <w:rsid w:val="007E5208"/>
    <w:rsid w:val="007E5214"/>
    <w:rsid w:val="007E58C0"/>
    <w:rsid w:val="007E6ADA"/>
    <w:rsid w:val="007E71F6"/>
    <w:rsid w:val="007F02C9"/>
    <w:rsid w:val="007F08F3"/>
    <w:rsid w:val="007F0DB7"/>
    <w:rsid w:val="007F0FED"/>
    <w:rsid w:val="007F1142"/>
    <w:rsid w:val="007F1201"/>
    <w:rsid w:val="007F1287"/>
    <w:rsid w:val="007F1630"/>
    <w:rsid w:val="007F1BBA"/>
    <w:rsid w:val="007F1C9E"/>
    <w:rsid w:val="007F2F35"/>
    <w:rsid w:val="007F3627"/>
    <w:rsid w:val="007F3C1C"/>
    <w:rsid w:val="007F3EA6"/>
    <w:rsid w:val="007F4106"/>
    <w:rsid w:val="007F41B9"/>
    <w:rsid w:val="007F48A6"/>
    <w:rsid w:val="007F4AC3"/>
    <w:rsid w:val="007F5C53"/>
    <w:rsid w:val="007F5EC5"/>
    <w:rsid w:val="007F5EDA"/>
    <w:rsid w:val="007F601B"/>
    <w:rsid w:val="007F7316"/>
    <w:rsid w:val="007F761D"/>
    <w:rsid w:val="007F76EE"/>
    <w:rsid w:val="007F76F5"/>
    <w:rsid w:val="00801BBE"/>
    <w:rsid w:val="00801F83"/>
    <w:rsid w:val="008021FF"/>
    <w:rsid w:val="00802B5F"/>
    <w:rsid w:val="00802C2B"/>
    <w:rsid w:val="008030F7"/>
    <w:rsid w:val="00803183"/>
    <w:rsid w:val="00804079"/>
    <w:rsid w:val="008042FD"/>
    <w:rsid w:val="00804677"/>
    <w:rsid w:val="00804CD3"/>
    <w:rsid w:val="00804DDC"/>
    <w:rsid w:val="00805794"/>
    <w:rsid w:val="00805A27"/>
    <w:rsid w:val="00805FD4"/>
    <w:rsid w:val="0080629B"/>
    <w:rsid w:val="0080676B"/>
    <w:rsid w:val="00806CCF"/>
    <w:rsid w:val="00807065"/>
    <w:rsid w:val="00807AD1"/>
    <w:rsid w:val="00807BC3"/>
    <w:rsid w:val="00807D0E"/>
    <w:rsid w:val="008103CA"/>
    <w:rsid w:val="008108A6"/>
    <w:rsid w:val="0081112E"/>
    <w:rsid w:val="0081177B"/>
    <w:rsid w:val="008129A0"/>
    <w:rsid w:val="008129F1"/>
    <w:rsid w:val="00812D7B"/>
    <w:rsid w:val="00813DA6"/>
    <w:rsid w:val="00813DE9"/>
    <w:rsid w:val="0081444F"/>
    <w:rsid w:val="008154AF"/>
    <w:rsid w:val="00816594"/>
    <w:rsid w:val="00817055"/>
    <w:rsid w:val="00817247"/>
    <w:rsid w:val="00817530"/>
    <w:rsid w:val="008179EE"/>
    <w:rsid w:val="00817C8C"/>
    <w:rsid w:val="00821681"/>
    <w:rsid w:val="00821854"/>
    <w:rsid w:val="00821D3A"/>
    <w:rsid w:val="00821E31"/>
    <w:rsid w:val="0082224C"/>
    <w:rsid w:val="00822356"/>
    <w:rsid w:val="00822CCE"/>
    <w:rsid w:val="0082308F"/>
    <w:rsid w:val="008232C9"/>
    <w:rsid w:val="00823BE2"/>
    <w:rsid w:val="0082409D"/>
    <w:rsid w:val="00824962"/>
    <w:rsid w:val="00824F24"/>
    <w:rsid w:val="0082559F"/>
    <w:rsid w:val="008258DC"/>
    <w:rsid w:val="00825F0F"/>
    <w:rsid w:val="00825F31"/>
    <w:rsid w:val="00826273"/>
    <w:rsid w:val="00826DB7"/>
    <w:rsid w:val="008308E4"/>
    <w:rsid w:val="008312CF"/>
    <w:rsid w:val="00832333"/>
    <w:rsid w:val="008328EF"/>
    <w:rsid w:val="00832905"/>
    <w:rsid w:val="00832CAC"/>
    <w:rsid w:val="0083307A"/>
    <w:rsid w:val="008335B6"/>
    <w:rsid w:val="00834DE3"/>
    <w:rsid w:val="008360BC"/>
    <w:rsid w:val="008367D8"/>
    <w:rsid w:val="008368CB"/>
    <w:rsid w:val="00836B7C"/>
    <w:rsid w:val="0083772D"/>
    <w:rsid w:val="00837730"/>
    <w:rsid w:val="00837EC0"/>
    <w:rsid w:val="00837FF1"/>
    <w:rsid w:val="00840274"/>
    <w:rsid w:val="00840D69"/>
    <w:rsid w:val="00841AD2"/>
    <w:rsid w:val="00841FF3"/>
    <w:rsid w:val="00842C6F"/>
    <w:rsid w:val="00842DAA"/>
    <w:rsid w:val="00842F50"/>
    <w:rsid w:val="00842F8D"/>
    <w:rsid w:val="008442C2"/>
    <w:rsid w:val="0084463E"/>
    <w:rsid w:val="00844887"/>
    <w:rsid w:val="00844915"/>
    <w:rsid w:val="00844C5C"/>
    <w:rsid w:val="00844D44"/>
    <w:rsid w:val="00844D4B"/>
    <w:rsid w:val="00844D9B"/>
    <w:rsid w:val="00845448"/>
    <w:rsid w:val="008459A8"/>
    <w:rsid w:val="00845D9E"/>
    <w:rsid w:val="00846244"/>
    <w:rsid w:val="008468AF"/>
    <w:rsid w:val="00847239"/>
    <w:rsid w:val="00847654"/>
    <w:rsid w:val="00847672"/>
    <w:rsid w:val="008479F2"/>
    <w:rsid w:val="00847DDA"/>
    <w:rsid w:val="008507CB"/>
    <w:rsid w:val="00851124"/>
    <w:rsid w:val="00851837"/>
    <w:rsid w:val="0085184E"/>
    <w:rsid w:val="00851F09"/>
    <w:rsid w:val="008521E9"/>
    <w:rsid w:val="00852EFA"/>
    <w:rsid w:val="008531D4"/>
    <w:rsid w:val="0085374C"/>
    <w:rsid w:val="00853FDC"/>
    <w:rsid w:val="0085401B"/>
    <w:rsid w:val="008540E3"/>
    <w:rsid w:val="0085459D"/>
    <w:rsid w:val="0085593B"/>
    <w:rsid w:val="00855ED8"/>
    <w:rsid w:val="00855F1A"/>
    <w:rsid w:val="008560DE"/>
    <w:rsid w:val="008562F8"/>
    <w:rsid w:val="008567B2"/>
    <w:rsid w:val="00856F0C"/>
    <w:rsid w:val="0085709B"/>
    <w:rsid w:val="0085746B"/>
    <w:rsid w:val="008604A7"/>
    <w:rsid w:val="0086181F"/>
    <w:rsid w:val="00861F34"/>
    <w:rsid w:val="008622F9"/>
    <w:rsid w:val="00862589"/>
    <w:rsid w:val="00862E07"/>
    <w:rsid w:val="00863053"/>
    <w:rsid w:val="00863BC3"/>
    <w:rsid w:val="00863FFD"/>
    <w:rsid w:val="008648A2"/>
    <w:rsid w:val="00864B64"/>
    <w:rsid w:val="0086584C"/>
    <w:rsid w:val="00865851"/>
    <w:rsid w:val="0086599F"/>
    <w:rsid w:val="00865AAA"/>
    <w:rsid w:val="00865EB8"/>
    <w:rsid w:val="0086644D"/>
    <w:rsid w:val="00866729"/>
    <w:rsid w:val="00866C9B"/>
    <w:rsid w:val="00867102"/>
    <w:rsid w:val="008672B6"/>
    <w:rsid w:val="00867764"/>
    <w:rsid w:val="00867F4A"/>
    <w:rsid w:val="00870030"/>
    <w:rsid w:val="008704A5"/>
    <w:rsid w:val="00870711"/>
    <w:rsid w:val="00871362"/>
    <w:rsid w:val="008717DC"/>
    <w:rsid w:val="00871E09"/>
    <w:rsid w:val="0087201D"/>
    <w:rsid w:val="00872547"/>
    <w:rsid w:val="008725E3"/>
    <w:rsid w:val="0087289A"/>
    <w:rsid w:val="00872BB4"/>
    <w:rsid w:val="00872D31"/>
    <w:rsid w:val="008737A7"/>
    <w:rsid w:val="008738F2"/>
    <w:rsid w:val="00873F3D"/>
    <w:rsid w:val="008741D9"/>
    <w:rsid w:val="008749BB"/>
    <w:rsid w:val="0087520E"/>
    <w:rsid w:val="008752A4"/>
    <w:rsid w:val="008754E1"/>
    <w:rsid w:val="0087565B"/>
    <w:rsid w:val="008759FA"/>
    <w:rsid w:val="008760C4"/>
    <w:rsid w:val="00876308"/>
    <w:rsid w:val="008766FC"/>
    <w:rsid w:val="00876818"/>
    <w:rsid w:val="0087776F"/>
    <w:rsid w:val="00877871"/>
    <w:rsid w:val="00880306"/>
    <w:rsid w:val="00880314"/>
    <w:rsid w:val="00880749"/>
    <w:rsid w:val="00880808"/>
    <w:rsid w:val="00880CDB"/>
    <w:rsid w:val="00881135"/>
    <w:rsid w:val="00881B41"/>
    <w:rsid w:val="00881F25"/>
    <w:rsid w:val="00882345"/>
    <w:rsid w:val="00882E7B"/>
    <w:rsid w:val="00883412"/>
    <w:rsid w:val="008835BA"/>
    <w:rsid w:val="00883891"/>
    <w:rsid w:val="00883F2E"/>
    <w:rsid w:val="008842C3"/>
    <w:rsid w:val="0088431C"/>
    <w:rsid w:val="00884F1D"/>
    <w:rsid w:val="008851BA"/>
    <w:rsid w:val="0088548B"/>
    <w:rsid w:val="00885AFE"/>
    <w:rsid w:val="00885B68"/>
    <w:rsid w:val="00885BC0"/>
    <w:rsid w:val="00886223"/>
    <w:rsid w:val="008864E6"/>
    <w:rsid w:val="008873BD"/>
    <w:rsid w:val="00887B46"/>
    <w:rsid w:val="00890965"/>
    <w:rsid w:val="00890F03"/>
    <w:rsid w:val="00891127"/>
    <w:rsid w:val="00891440"/>
    <w:rsid w:val="00891604"/>
    <w:rsid w:val="008916DB"/>
    <w:rsid w:val="008919C5"/>
    <w:rsid w:val="0089240A"/>
    <w:rsid w:val="00892456"/>
    <w:rsid w:val="008924AB"/>
    <w:rsid w:val="0089282D"/>
    <w:rsid w:val="00892A6F"/>
    <w:rsid w:val="00892BB6"/>
    <w:rsid w:val="0089312A"/>
    <w:rsid w:val="008931BC"/>
    <w:rsid w:val="00893C5C"/>
    <w:rsid w:val="008943C1"/>
    <w:rsid w:val="00895455"/>
    <w:rsid w:val="0089571B"/>
    <w:rsid w:val="00895C87"/>
    <w:rsid w:val="00896889"/>
    <w:rsid w:val="00896A63"/>
    <w:rsid w:val="00896B2F"/>
    <w:rsid w:val="00896BBB"/>
    <w:rsid w:val="0089784B"/>
    <w:rsid w:val="00897B8A"/>
    <w:rsid w:val="008A02F0"/>
    <w:rsid w:val="008A06F6"/>
    <w:rsid w:val="008A0E1F"/>
    <w:rsid w:val="008A0E4E"/>
    <w:rsid w:val="008A121C"/>
    <w:rsid w:val="008A175D"/>
    <w:rsid w:val="008A1A21"/>
    <w:rsid w:val="008A1F0D"/>
    <w:rsid w:val="008A1F23"/>
    <w:rsid w:val="008A2810"/>
    <w:rsid w:val="008A2F28"/>
    <w:rsid w:val="008A3007"/>
    <w:rsid w:val="008A3A60"/>
    <w:rsid w:val="008A3C02"/>
    <w:rsid w:val="008A4A71"/>
    <w:rsid w:val="008A4F55"/>
    <w:rsid w:val="008A4FC8"/>
    <w:rsid w:val="008A58CD"/>
    <w:rsid w:val="008A5AFA"/>
    <w:rsid w:val="008A5D54"/>
    <w:rsid w:val="008A7B04"/>
    <w:rsid w:val="008B0012"/>
    <w:rsid w:val="008B01AF"/>
    <w:rsid w:val="008B0B20"/>
    <w:rsid w:val="008B0D76"/>
    <w:rsid w:val="008B0DC2"/>
    <w:rsid w:val="008B0DD8"/>
    <w:rsid w:val="008B10DF"/>
    <w:rsid w:val="008B184D"/>
    <w:rsid w:val="008B1CB3"/>
    <w:rsid w:val="008B1EA2"/>
    <w:rsid w:val="008B242D"/>
    <w:rsid w:val="008B29C7"/>
    <w:rsid w:val="008B2C2D"/>
    <w:rsid w:val="008B3970"/>
    <w:rsid w:val="008B401B"/>
    <w:rsid w:val="008B41E1"/>
    <w:rsid w:val="008B4848"/>
    <w:rsid w:val="008B5C94"/>
    <w:rsid w:val="008B5ECD"/>
    <w:rsid w:val="008B637C"/>
    <w:rsid w:val="008B6AF2"/>
    <w:rsid w:val="008B6C98"/>
    <w:rsid w:val="008B706B"/>
    <w:rsid w:val="008B70FA"/>
    <w:rsid w:val="008B7ED7"/>
    <w:rsid w:val="008C0A86"/>
    <w:rsid w:val="008C0B85"/>
    <w:rsid w:val="008C1255"/>
    <w:rsid w:val="008C195F"/>
    <w:rsid w:val="008C337D"/>
    <w:rsid w:val="008C3535"/>
    <w:rsid w:val="008C366B"/>
    <w:rsid w:val="008C38AB"/>
    <w:rsid w:val="008C3A0B"/>
    <w:rsid w:val="008C3E4C"/>
    <w:rsid w:val="008C40B8"/>
    <w:rsid w:val="008C40DE"/>
    <w:rsid w:val="008C4AB0"/>
    <w:rsid w:val="008C5159"/>
    <w:rsid w:val="008C5550"/>
    <w:rsid w:val="008C5949"/>
    <w:rsid w:val="008C6761"/>
    <w:rsid w:val="008C6CB9"/>
    <w:rsid w:val="008C6D3D"/>
    <w:rsid w:val="008C75B3"/>
    <w:rsid w:val="008C78F3"/>
    <w:rsid w:val="008C7B21"/>
    <w:rsid w:val="008D0355"/>
    <w:rsid w:val="008D111B"/>
    <w:rsid w:val="008D171A"/>
    <w:rsid w:val="008D184A"/>
    <w:rsid w:val="008D1908"/>
    <w:rsid w:val="008D1C68"/>
    <w:rsid w:val="008D2F46"/>
    <w:rsid w:val="008D394C"/>
    <w:rsid w:val="008D3C44"/>
    <w:rsid w:val="008D4282"/>
    <w:rsid w:val="008D6081"/>
    <w:rsid w:val="008D63FA"/>
    <w:rsid w:val="008D6780"/>
    <w:rsid w:val="008D74CE"/>
    <w:rsid w:val="008D76A4"/>
    <w:rsid w:val="008D77BE"/>
    <w:rsid w:val="008D7AEC"/>
    <w:rsid w:val="008E07D8"/>
    <w:rsid w:val="008E0C11"/>
    <w:rsid w:val="008E1130"/>
    <w:rsid w:val="008E1132"/>
    <w:rsid w:val="008E14D7"/>
    <w:rsid w:val="008E180C"/>
    <w:rsid w:val="008E1834"/>
    <w:rsid w:val="008E1CB5"/>
    <w:rsid w:val="008E205D"/>
    <w:rsid w:val="008E23FD"/>
    <w:rsid w:val="008E2628"/>
    <w:rsid w:val="008E2896"/>
    <w:rsid w:val="008E2C1E"/>
    <w:rsid w:val="008E2C25"/>
    <w:rsid w:val="008E31B5"/>
    <w:rsid w:val="008E33CF"/>
    <w:rsid w:val="008E39AF"/>
    <w:rsid w:val="008E3B6C"/>
    <w:rsid w:val="008E3BC5"/>
    <w:rsid w:val="008E4F0D"/>
    <w:rsid w:val="008E4FF9"/>
    <w:rsid w:val="008E51C9"/>
    <w:rsid w:val="008E582B"/>
    <w:rsid w:val="008E5994"/>
    <w:rsid w:val="008E5AED"/>
    <w:rsid w:val="008E5B15"/>
    <w:rsid w:val="008E5F38"/>
    <w:rsid w:val="008E6457"/>
    <w:rsid w:val="008E6617"/>
    <w:rsid w:val="008E7D67"/>
    <w:rsid w:val="008F008D"/>
    <w:rsid w:val="008F042E"/>
    <w:rsid w:val="008F082B"/>
    <w:rsid w:val="008F0A15"/>
    <w:rsid w:val="008F0CF4"/>
    <w:rsid w:val="008F1373"/>
    <w:rsid w:val="008F15D8"/>
    <w:rsid w:val="008F1771"/>
    <w:rsid w:val="008F2088"/>
    <w:rsid w:val="008F21FA"/>
    <w:rsid w:val="008F2B42"/>
    <w:rsid w:val="008F2B7E"/>
    <w:rsid w:val="008F2D8D"/>
    <w:rsid w:val="008F2EAB"/>
    <w:rsid w:val="008F3034"/>
    <w:rsid w:val="008F3D5B"/>
    <w:rsid w:val="008F3E32"/>
    <w:rsid w:val="008F45EB"/>
    <w:rsid w:val="008F504B"/>
    <w:rsid w:val="008F52AC"/>
    <w:rsid w:val="008F52C1"/>
    <w:rsid w:val="008F5651"/>
    <w:rsid w:val="008F5751"/>
    <w:rsid w:val="008F58F3"/>
    <w:rsid w:val="008F5F36"/>
    <w:rsid w:val="008F642A"/>
    <w:rsid w:val="008F644D"/>
    <w:rsid w:val="008F6948"/>
    <w:rsid w:val="008F6963"/>
    <w:rsid w:val="008F79AA"/>
    <w:rsid w:val="008F79EA"/>
    <w:rsid w:val="00900501"/>
    <w:rsid w:val="0090101C"/>
    <w:rsid w:val="00901633"/>
    <w:rsid w:val="009025E0"/>
    <w:rsid w:val="0090303A"/>
    <w:rsid w:val="0090371D"/>
    <w:rsid w:val="009039AD"/>
    <w:rsid w:val="009039F7"/>
    <w:rsid w:val="00903DBA"/>
    <w:rsid w:val="00903F13"/>
    <w:rsid w:val="009048F2"/>
    <w:rsid w:val="00904B78"/>
    <w:rsid w:val="00904DCC"/>
    <w:rsid w:val="00905AD7"/>
    <w:rsid w:val="00905D2C"/>
    <w:rsid w:val="00905DA8"/>
    <w:rsid w:val="00905F12"/>
    <w:rsid w:val="00905FA2"/>
    <w:rsid w:val="009061BE"/>
    <w:rsid w:val="00906DCB"/>
    <w:rsid w:val="00907A9E"/>
    <w:rsid w:val="00907EDB"/>
    <w:rsid w:val="0091032F"/>
    <w:rsid w:val="00910445"/>
    <w:rsid w:val="00910D4D"/>
    <w:rsid w:val="00911458"/>
    <w:rsid w:val="009116FB"/>
    <w:rsid w:val="00911749"/>
    <w:rsid w:val="00911877"/>
    <w:rsid w:val="009118A4"/>
    <w:rsid w:val="00911E6C"/>
    <w:rsid w:val="00911F54"/>
    <w:rsid w:val="00911F92"/>
    <w:rsid w:val="00912C91"/>
    <w:rsid w:val="00912FF7"/>
    <w:rsid w:val="00913867"/>
    <w:rsid w:val="0091400D"/>
    <w:rsid w:val="0091403A"/>
    <w:rsid w:val="00914B56"/>
    <w:rsid w:val="00914D5B"/>
    <w:rsid w:val="00914F6F"/>
    <w:rsid w:val="00915332"/>
    <w:rsid w:val="00915F32"/>
    <w:rsid w:val="00916166"/>
    <w:rsid w:val="009161C1"/>
    <w:rsid w:val="00916336"/>
    <w:rsid w:val="0091636E"/>
    <w:rsid w:val="009177B0"/>
    <w:rsid w:val="00917BC7"/>
    <w:rsid w:val="00917D7C"/>
    <w:rsid w:val="00917F4E"/>
    <w:rsid w:val="009200CD"/>
    <w:rsid w:val="00921146"/>
    <w:rsid w:val="0092176F"/>
    <w:rsid w:val="00921952"/>
    <w:rsid w:val="00921ED3"/>
    <w:rsid w:val="0092239D"/>
    <w:rsid w:val="00922B34"/>
    <w:rsid w:val="009232B0"/>
    <w:rsid w:val="009235A2"/>
    <w:rsid w:val="00923FDF"/>
    <w:rsid w:val="0092434A"/>
    <w:rsid w:val="00925F64"/>
    <w:rsid w:val="009265E5"/>
    <w:rsid w:val="00926855"/>
    <w:rsid w:val="00926BBA"/>
    <w:rsid w:val="00926EBE"/>
    <w:rsid w:val="00926FA9"/>
    <w:rsid w:val="0092781C"/>
    <w:rsid w:val="00927B0D"/>
    <w:rsid w:val="009302BE"/>
    <w:rsid w:val="00930E2A"/>
    <w:rsid w:val="0093128A"/>
    <w:rsid w:val="00931BBF"/>
    <w:rsid w:val="00931E9F"/>
    <w:rsid w:val="00931EE8"/>
    <w:rsid w:val="0093295C"/>
    <w:rsid w:val="00932A35"/>
    <w:rsid w:val="00932C16"/>
    <w:rsid w:val="00932F47"/>
    <w:rsid w:val="00933170"/>
    <w:rsid w:val="00933269"/>
    <w:rsid w:val="00933382"/>
    <w:rsid w:val="00933D5A"/>
    <w:rsid w:val="00934C2F"/>
    <w:rsid w:val="00934D2F"/>
    <w:rsid w:val="0093546C"/>
    <w:rsid w:val="009357F1"/>
    <w:rsid w:val="00935BA3"/>
    <w:rsid w:val="00936D7E"/>
    <w:rsid w:val="009373DD"/>
    <w:rsid w:val="00937489"/>
    <w:rsid w:val="00937F07"/>
    <w:rsid w:val="00940133"/>
    <w:rsid w:val="009401E6"/>
    <w:rsid w:val="00940B0B"/>
    <w:rsid w:val="00940F61"/>
    <w:rsid w:val="0094131A"/>
    <w:rsid w:val="0094141D"/>
    <w:rsid w:val="00941766"/>
    <w:rsid w:val="009417BF"/>
    <w:rsid w:val="009424F4"/>
    <w:rsid w:val="00942753"/>
    <w:rsid w:val="009427A3"/>
    <w:rsid w:val="009440A6"/>
    <w:rsid w:val="009443CC"/>
    <w:rsid w:val="009448BB"/>
    <w:rsid w:val="00944B17"/>
    <w:rsid w:val="00944C47"/>
    <w:rsid w:val="00944FC1"/>
    <w:rsid w:val="00945878"/>
    <w:rsid w:val="00945937"/>
    <w:rsid w:val="00945ABD"/>
    <w:rsid w:val="00945BE2"/>
    <w:rsid w:val="00946675"/>
    <w:rsid w:val="0094690D"/>
    <w:rsid w:val="00947430"/>
    <w:rsid w:val="00947C94"/>
    <w:rsid w:val="00947EC1"/>
    <w:rsid w:val="00950580"/>
    <w:rsid w:val="00950E3F"/>
    <w:rsid w:val="00951C4E"/>
    <w:rsid w:val="00952370"/>
    <w:rsid w:val="0095249A"/>
    <w:rsid w:val="009524ED"/>
    <w:rsid w:val="009528AC"/>
    <w:rsid w:val="0095291E"/>
    <w:rsid w:val="00953650"/>
    <w:rsid w:val="00953885"/>
    <w:rsid w:val="009543FA"/>
    <w:rsid w:val="00954592"/>
    <w:rsid w:val="009546A6"/>
    <w:rsid w:val="009546B8"/>
    <w:rsid w:val="00954F7D"/>
    <w:rsid w:val="0095519E"/>
    <w:rsid w:val="009551B1"/>
    <w:rsid w:val="0095582F"/>
    <w:rsid w:val="009558DE"/>
    <w:rsid w:val="0095613D"/>
    <w:rsid w:val="009561CB"/>
    <w:rsid w:val="009562C0"/>
    <w:rsid w:val="009562D9"/>
    <w:rsid w:val="00956768"/>
    <w:rsid w:val="009567BF"/>
    <w:rsid w:val="0095693C"/>
    <w:rsid w:val="00956AA0"/>
    <w:rsid w:val="00957171"/>
    <w:rsid w:val="009575DA"/>
    <w:rsid w:val="00957767"/>
    <w:rsid w:val="00957B14"/>
    <w:rsid w:val="00957C1F"/>
    <w:rsid w:val="00960575"/>
    <w:rsid w:val="009605CD"/>
    <w:rsid w:val="00960E58"/>
    <w:rsid w:val="00961157"/>
    <w:rsid w:val="009611A5"/>
    <w:rsid w:val="009618DC"/>
    <w:rsid w:val="00961BD0"/>
    <w:rsid w:val="00961C60"/>
    <w:rsid w:val="009621DF"/>
    <w:rsid w:val="009622C7"/>
    <w:rsid w:val="009623F9"/>
    <w:rsid w:val="00962819"/>
    <w:rsid w:val="00963264"/>
    <w:rsid w:val="00963FEE"/>
    <w:rsid w:val="009645DB"/>
    <w:rsid w:val="009649C4"/>
    <w:rsid w:val="00964A0D"/>
    <w:rsid w:val="00964D14"/>
    <w:rsid w:val="00964EC3"/>
    <w:rsid w:val="00965AE0"/>
    <w:rsid w:val="009663D6"/>
    <w:rsid w:val="009663EF"/>
    <w:rsid w:val="00966848"/>
    <w:rsid w:val="00966997"/>
    <w:rsid w:val="00966CB0"/>
    <w:rsid w:val="00967183"/>
    <w:rsid w:val="0096731E"/>
    <w:rsid w:val="009678F2"/>
    <w:rsid w:val="00967936"/>
    <w:rsid w:val="00967E08"/>
    <w:rsid w:val="00970046"/>
    <w:rsid w:val="009715CC"/>
    <w:rsid w:val="00971FF5"/>
    <w:rsid w:val="009729BB"/>
    <w:rsid w:val="00972A05"/>
    <w:rsid w:val="00972A06"/>
    <w:rsid w:val="00972B10"/>
    <w:rsid w:val="009745A6"/>
    <w:rsid w:val="00974D87"/>
    <w:rsid w:val="00975495"/>
    <w:rsid w:val="009755D4"/>
    <w:rsid w:val="00975F06"/>
    <w:rsid w:val="009760A2"/>
    <w:rsid w:val="00976723"/>
    <w:rsid w:val="00976F65"/>
    <w:rsid w:val="00977869"/>
    <w:rsid w:val="009779BA"/>
    <w:rsid w:val="00977AD6"/>
    <w:rsid w:val="00977E26"/>
    <w:rsid w:val="00980487"/>
    <w:rsid w:val="009807D2"/>
    <w:rsid w:val="00980847"/>
    <w:rsid w:val="009811B8"/>
    <w:rsid w:val="00981589"/>
    <w:rsid w:val="00981759"/>
    <w:rsid w:val="009817BE"/>
    <w:rsid w:val="0098185C"/>
    <w:rsid w:val="00981904"/>
    <w:rsid w:val="00981AE5"/>
    <w:rsid w:val="00981B20"/>
    <w:rsid w:val="00981C40"/>
    <w:rsid w:val="00981C6B"/>
    <w:rsid w:val="00981F7D"/>
    <w:rsid w:val="00982720"/>
    <w:rsid w:val="009833AB"/>
    <w:rsid w:val="00983647"/>
    <w:rsid w:val="00983691"/>
    <w:rsid w:val="00983FCE"/>
    <w:rsid w:val="00984054"/>
    <w:rsid w:val="009841CD"/>
    <w:rsid w:val="00984493"/>
    <w:rsid w:val="00984E91"/>
    <w:rsid w:val="009853E5"/>
    <w:rsid w:val="00985494"/>
    <w:rsid w:val="00985B1D"/>
    <w:rsid w:val="00985C08"/>
    <w:rsid w:val="00985F65"/>
    <w:rsid w:val="0098657A"/>
    <w:rsid w:val="0098659B"/>
    <w:rsid w:val="009865DE"/>
    <w:rsid w:val="009868A9"/>
    <w:rsid w:val="00986C71"/>
    <w:rsid w:val="00986CA0"/>
    <w:rsid w:val="009876C4"/>
    <w:rsid w:val="00987818"/>
    <w:rsid w:val="009879D9"/>
    <w:rsid w:val="00987E15"/>
    <w:rsid w:val="0099088A"/>
    <w:rsid w:val="00990C4C"/>
    <w:rsid w:val="00990C7C"/>
    <w:rsid w:val="00990EB9"/>
    <w:rsid w:val="009910AF"/>
    <w:rsid w:val="00992AB7"/>
    <w:rsid w:val="00992CA3"/>
    <w:rsid w:val="00992DA8"/>
    <w:rsid w:val="00993670"/>
    <w:rsid w:val="00993894"/>
    <w:rsid w:val="00993BD3"/>
    <w:rsid w:val="00993CF9"/>
    <w:rsid w:val="00993DE1"/>
    <w:rsid w:val="0099404E"/>
    <w:rsid w:val="00994769"/>
    <w:rsid w:val="0099538C"/>
    <w:rsid w:val="0099547A"/>
    <w:rsid w:val="0099548B"/>
    <w:rsid w:val="00995552"/>
    <w:rsid w:val="009955B4"/>
    <w:rsid w:val="00996022"/>
    <w:rsid w:val="009970AE"/>
    <w:rsid w:val="00997B3C"/>
    <w:rsid w:val="009A0EF1"/>
    <w:rsid w:val="009A1053"/>
    <w:rsid w:val="009A1520"/>
    <w:rsid w:val="009A1D79"/>
    <w:rsid w:val="009A205F"/>
    <w:rsid w:val="009A2FF0"/>
    <w:rsid w:val="009A30E4"/>
    <w:rsid w:val="009A3315"/>
    <w:rsid w:val="009A3441"/>
    <w:rsid w:val="009A3669"/>
    <w:rsid w:val="009A377C"/>
    <w:rsid w:val="009A38B5"/>
    <w:rsid w:val="009A3B47"/>
    <w:rsid w:val="009A3BD1"/>
    <w:rsid w:val="009A44C0"/>
    <w:rsid w:val="009A4718"/>
    <w:rsid w:val="009A48CF"/>
    <w:rsid w:val="009A5224"/>
    <w:rsid w:val="009A5352"/>
    <w:rsid w:val="009A5690"/>
    <w:rsid w:val="009A5A8B"/>
    <w:rsid w:val="009A5DC8"/>
    <w:rsid w:val="009A66B0"/>
    <w:rsid w:val="009A682F"/>
    <w:rsid w:val="009A6D3C"/>
    <w:rsid w:val="009A6E71"/>
    <w:rsid w:val="009A739F"/>
    <w:rsid w:val="009A7996"/>
    <w:rsid w:val="009A79A6"/>
    <w:rsid w:val="009A7B9A"/>
    <w:rsid w:val="009B0A04"/>
    <w:rsid w:val="009B0C7F"/>
    <w:rsid w:val="009B0D0E"/>
    <w:rsid w:val="009B0D5B"/>
    <w:rsid w:val="009B117D"/>
    <w:rsid w:val="009B13E7"/>
    <w:rsid w:val="009B19D6"/>
    <w:rsid w:val="009B1BBF"/>
    <w:rsid w:val="009B32D1"/>
    <w:rsid w:val="009B3440"/>
    <w:rsid w:val="009B3604"/>
    <w:rsid w:val="009B37F7"/>
    <w:rsid w:val="009B3B51"/>
    <w:rsid w:val="009B3C5D"/>
    <w:rsid w:val="009B4061"/>
    <w:rsid w:val="009B436E"/>
    <w:rsid w:val="009B4519"/>
    <w:rsid w:val="009B4E35"/>
    <w:rsid w:val="009B4FF1"/>
    <w:rsid w:val="009B52BF"/>
    <w:rsid w:val="009B558B"/>
    <w:rsid w:val="009B55A6"/>
    <w:rsid w:val="009B56D0"/>
    <w:rsid w:val="009B57BD"/>
    <w:rsid w:val="009B5E18"/>
    <w:rsid w:val="009B6BAC"/>
    <w:rsid w:val="009C1040"/>
    <w:rsid w:val="009C1245"/>
    <w:rsid w:val="009C154A"/>
    <w:rsid w:val="009C1B9D"/>
    <w:rsid w:val="009C1F38"/>
    <w:rsid w:val="009C1FD7"/>
    <w:rsid w:val="009C2499"/>
    <w:rsid w:val="009C26D0"/>
    <w:rsid w:val="009C2BE4"/>
    <w:rsid w:val="009C2E85"/>
    <w:rsid w:val="009C2F92"/>
    <w:rsid w:val="009C3B44"/>
    <w:rsid w:val="009C3C54"/>
    <w:rsid w:val="009C3D2E"/>
    <w:rsid w:val="009C3D5E"/>
    <w:rsid w:val="009C3F86"/>
    <w:rsid w:val="009C42D8"/>
    <w:rsid w:val="009C4706"/>
    <w:rsid w:val="009C4887"/>
    <w:rsid w:val="009C4C88"/>
    <w:rsid w:val="009C50F2"/>
    <w:rsid w:val="009C576D"/>
    <w:rsid w:val="009C5DCE"/>
    <w:rsid w:val="009C62D8"/>
    <w:rsid w:val="009C686B"/>
    <w:rsid w:val="009C6ABC"/>
    <w:rsid w:val="009C6C48"/>
    <w:rsid w:val="009C6F6E"/>
    <w:rsid w:val="009C7186"/>
    <w:rsid w:val="009C738D"/>
    <w:rsid w:val="009D11ED"/>
    <w:rsid w:val="009D1658"/>
    <w:rsid w:val="009D1861"/>
    <w:rsid w:val="009D19A5"/>
    <w:rsid w:val="009D1C20"/>
    <w:rsid w:val="009D2106"/>
    <w:rsid w:val="009D2669"/>
    <w:rsid w:val="009D283E"/>
    <w:rsid w:val="009D3177"/>
    <w:rsid w:val="009D344A"/>
    <w:rsid w:val="009D3A8B"/>
    <w:rsid w:val="009D451D"/>
    <w:rsid w:val="009D537F"/>
    <w:rsid w:val="009D59D4"/>
    <w:rsid w:val="009D60FF"/>
    <w:rsid w:val="009D6569"/>
    <w:rsid w:val="009D6945"/>
    <w:rsid w:val="009D6A19"/>
    <w:rsid w:val="009D7174"/>
    <w:rsid w:val="009D747A"/>
    <w:rsid w:val="009D780C"/>
    <w:rsid w:val="009D7A48"/>
    <w:rsid w:val="009E0AE7"/>
    <w:rsid w:val="009E0DB6"/>
    <w:rsid w:val="009E3368"/>
    <w:rsid w:val="009E3677"/>
    <w:rsid w:val="009E3802"/>
    <w:rsid w:val="009E5389"/>
    <w:rsid w:val="009E58E2"/>
    <w:rsid w:val="009E6447"/>
    <w:rsid w:val="009E6778"/>
    <w:rsid w:val="009E6A2D"/>
    <w:rsid w:val="009E6DE7"/>
    <w:rsid w:val="009E6FB1"/>
    <w:rsid w:val="009E7061"/>
    <w:rsid w:val="009E7080"/>
    <w:rsid w:val="009E723A"/>
    <w:rsid w:val="009E7497"/>
    <w:rsid w:val="009E7592"/>
    <w:rsid w:val="009E75DD"/>
    <w:rsid w:val="009E7ACC"/>
    <w:rsid w:val="009E7DCF"/>
    <w:rsid w:val="009E7E3A"/>
    <w:rsid w:val="009F0242"/>
    <w:rsid w:val="009F03B2"/>
    <w:rsid w:val="009F0528"/>
    <w:rsid w:val="009F0AAC"/>
    <w:rsid w:val="009F1CE8"/>
    <w:rsid w:val="009F1E0C"/>
    <w:rsid w:val="009F1F9D"/>
    <w:rsid w:val="009F2068"/>
    <w:rsid w:val="009F2A53"/>
    <w:rsid w:val="009F2BED"/>
    <w:rsid w:val="009F309F"/>
    <w:rsid w:val="009F30A8"/>
    <w:rsid w:val="009F3684"/>
    <w:rsid w:val="009F3690"/>
    <w:rsid w:val="009F3A3D"/>
    <w:rsid w:val="009F403F"/>
    <w:rsid w:val="009F4203"/>
    <w:rsid w:val="009F4461"/>
    <w:rsid w:val="009F4979"/>
    <w:rsid w:val="009F5630"/>
    <w:rsid w:val="009F5C02"/>
    <w:rsid w:val="009F6120"/>
    <w:rsid w:val="009F6885"/>
    <w:rsid w:val="009F6970"/>
    <w:rsid w:val="009F6F2C"/>
    <w:rsid w:val="009F712B"/>
    <w:rsid w:val="009F7201"/>
    <w:rsid w:val="009F75A9"/>
    <w:rsid w:val="009F7624"/>
    <w:rsid w:val="009F77BE"/>
    <w:rsid w:val="00A00531"/>
    <w:rsid w:val="00A0172B"/>
    <w:rsid w:val="00A02190"/>
    <w:rsid w:val="00A02213"/>
    <w:rsid w:val="00A024C8"/>
    <w:rsid w:val="00A030B8"/>
    <w:rsid w:val="00A03235"/>
    <w:rsid w:val="00A05360"/>
    <w:rsid w:val="00A0557E"/>
    <w:rsid w:val="00A05CEB"/>
    <w:rsid w:val="00A065FE"/>
    <w:rsid w:val="00A07767"/>
    <w:rsid w:val="00A07A12"/>
    <w:rsid w:val="00A102E3"/>
    <w:rsid w:val="00A104EB"/>
    <w:rsid w:val="00A10747"/>
    <w:rsid w:val="00A10D0C"/>
    <w:rsid w:val="00A10E32"/>
    <w:rsid w:val="00A11022"/>
    <w:rsid w:val="00A114EA"/>
    <w:rsid w:val="00A114F2"/>
    <w:rsid w:val="00A1184C"/>
    <w:rsid w:val="00A11C17"/>
    <w:rsid w:val="00A11F6A"/>
    <w:rsid w:val="00A123A9"/>
    <w:rsid w:val="00A1266C"/>
    <w:rsid w:val="00A1273F"/>
    <w:rsid w:val="00A13AEB"/>
    <w:rsid w:val="00A14A2C"/>
    <w:rsid w:val="00A15039"/>
    <w:rsid w:val="00A15816"/>
    <w:rsid w:val="00A15B7E"/>
    <w:rsid w:val="00A15BB3"/>
    <w:rsid w:val="00A17511"/>
    <w:rsid w:val="00A17A5C"/>
    <w:rsid w:val="00A2029C"/>
    <w:rsid w:val="00A20CDE"/>
    <w:rsid w:val="00A21376"/>
    <w:rsid w:val="00A21F6D"/>
    <w:rsid w:val="00A2251F"/>
    <w:rsid w:val="00A23158"/>
    <w:rsid w:val="00A231B8"/>
    <w:rsid w:val="00A23F5B"/>
    <w:rsid w:val="00A240EC"/>
    <w:rsid w:val="00A2419F"/>
    <w:rsid w:val="00A25001"/>
    <w:rsid w:val="00A25B1F"/>
    <w:rsid w:val="00A25D8A"/>
    <w:rsid w:val="00A25FB8"/>
    <w:rsid w:val="00A26359"/>
    <w:rsid w:val="00A26415"/>
    <w:rsid w:val="00A26D7B"/>
    <w:rsid w:val="00A26D7E"/>
    <w:rsid w:val="00A26E08"/>
    <w:rsid w:val="00A2717F"/>
    <w:rsid w:val="00A2767E"/>
    <w:rsid w:val="00A27787"/>
    <w:rsid w:val="00A27797"/>
    <w:rsid w:val="00A278EF"/>
    <w:rsid w:val="00A27B26"/>
    <w:rsid w:val="00A30399"/>
    <w:rsid w:val="00A316D1"/>
    <w:rsid w:val="00A31D25"/>
    <w:rsid w:val="00A3305D"/>
    <w:rsid w:val="00A3398E"/>
    <w:rsid w:val="00A34597"/>
    <w:rsid w:val="00A3492F"/>
    <w:rsid w:val="00A34A82"/>
    <w:rsid w:val="00A35273"/>
    <w:rsid w:val="00A35879"/>
    <w:rsid w:val="00A3656F"/>
    <w:rsid w:val="00A3695F"/>
    <w:rsid w:val="00A36E0A"/>
    <w:rsid w:val="00A376CC"/>
    <w:rsid w:val="00A379EE"/>
    <w:rsid w:val="00A4048A"/>
    <w:rsid w:val="00A405ED"/>
    <w:rsid w:val="00A408CE"/>
    <w:rsid w:val="00A411CB"/>
    <w:rsid w:val="00A41B77"/>
    <w:rsid w:val="00A41CBD"/>
    <w:rsid w:val="00A41DD3"/>
    <w:rsid w:val="00A42369"/>
    <w:rsid w:val="00A42973"/>
    <w:rsid w:val="00A43E65"/>
    <w:rsid w:val="00A43F85"/>
    <w:rsid w:val="00A44ED2"/>
    <w:rsid w:val="00A4607E"/>
    <w:rsid w:val="00A46261"/>
    <w:rsid w:val="00A4648D"/>
    <w:rsid w:val="00A468BA"/>
    <w:rsid w:val="00A46D60"/>
    <w:rsid w:val="00A47720"/>
    <w:rsid w:val="00A501E4"/>
    <w:rsid w:val="00A50488"/>
    <w:rsid w:val="00A50E08"/>
    <w:rsid w:val="00A51B86"/>
    <w:rsid w:val="00A5240A"/>
    <w:rsid w:val="00A52982"/>
    <w:rsid w:val="00A52E51"/>
    <w:rsid w:val="00A535C5"/>
    <w:rsid w:val="00A538EA"/>
    <w:rsid w:val="00A53ED9"/>
    <w:rsid w:val="00A5485F"/>
    <w:rsid w:val="00A548B8"/>
    <w:rsid w:val="00A54C19"/>
    <w:rsid w:val="00A560EE"/>
    <w:rsid w:val="00A571F1"/>
    <w:rsid w:val="00A575C3"/>
    <w:rsid w:val="00A577E2"/>
    <w:rsid w:val="00A579E3"/>
    <w:rsid w:val="00A603C8"/>
    <w:rsid w:val="00A60756"/>
    <w:rsid w:val="00A60D41"/>
    <w:rsid w:val="00A612A3"/>
    <w:rsid w:val="00A61878"/>
    <w:rsid w:val="00A61989"/>
    <w:rsid w:val="00A620E1"/>
    <w:rsid w:val="00A62214"/>
    <w:rsid w:val="00A62C1C"/>
    <w:rsid w:val="00A63145"/>
    <w:rsid w:val="00A637F0"/>
    <w:rsid w:val="00A6455D"/>
    <w:rsid w:val="00A65475"/>
    <w:rsid w:val="00A6564F"/>
    <w:rsid w:val="00A657FA"/>
    <w:rsid w:val="00A6583D"/>
    <w:rsid w:val="00A65B1A"/>
    <w:rsid w:val="00A65D94"/>
    <w:rsid w:val="00A65E91"/>
    <w:rsid w:val="00A65F8E"/>
    <w:rsid w:val="00A6626C"/>
    <w:rsid w:val="00A667B7"/>
    <w:rsid w:val="00A66E10"/>
    <w:rsid w:val="00A67278"/>
    <w:rsid w:val="00A672F7"/>
    <w:rsid w:val="00A6781C"/>
    <w:rsid w:val="00A6781F"/>
    <w:rsid w:val="00A6788D"/>
    <w:rsid w:val="00A67EE6"/>
    <w:rsid w:val="00A67EF3"/>
    <w:rsid w:val="00A7019F"/>
    <w:rsid w:val="00A71119"/>
    <w:rsid w:val="00A71459"/>
    <w:rsid w:val="00A71BD3"/>
    <w:rsid w:val="00A71F83"/>
    <w:rsid w:val="00A72510"/>
    <w:rsid w:val="00A725A0"/>
    <w:rsid w:val="00A72AA5"/>
    <w:rsid w:val="00A72D87"/>
    <w:rsid w:val="00A7312A"/>
    <w:rsid w:val="00A73566"/>
    <w:rsid w:val="00A73F9F"/>
    <w:rsid w:val="00A74B73"/>
    <w:rsid w:val="00A750B5"/>
    <w:rsid w:val="00A7553E"/>
    <w:rsid w:val="00A75953"/>
    <w:rsid w:val="00A7596D"/>
    <w:rsid w:val="00A76551"/>
    <w:rsid w:val="00A77BDC"/>
    <w:rsid w:val="00A812D8"/>
    <w:rsid w:val="00A81A3D"/>
    <w:rsid w:val="00A81A6C"/>
    <w:rsid w:val="00A826DE"/>
    <w:rsid w:val="00A82982"/>
    <w:rsid w:val="00A83123"/>
    <w:rsid w:val="00A8321D"/>
    <w:rsid w:val="00A832C9"/>
    <w:rsid w:val="00A83DF3"/>
    <w:rsid w:val="00A84090"/>
    <w:rsid w:val="00A8417A"/>
    <w:rsid w:val="00A865B2"/>
    <w:rsid w:val="00A86918"/>
    <w:rsid w:val="00A87323"/>
    <w:rsid w:val="00A876F6"/>
    <w:rsid w:val="00A87DB0"/>
    <w:rsid w:val="00A90DA9"/>
    <w:rsid w:val="00A90E2F"/>
    <w:rsid w:val="00A91041"/>
    <w:rsid w:val="00A9219A"/>
    <w:rsid w:val="00A921BA"/>
    <w:rsid w:val="00A924F3"/>
    <w:rsid w:val="00A92669"/>
    <w:rsid w:val="00A94424"/>
    <w:rsid w:val="00A94651"/>
    <w:rsid w:val="00A94859"/>
    <w:rsid w:val="00A94CEC"/>
    <w:rsid w:val="00A953A7"/>
    <w:rsid w:val="00A95808"/>
    <w:rsid w:val="00A958D0"/>
    <w:rsid w:val="00A9594C"/>
    <w:rsid w:val="00A9605F"/>
    <w:rsid w:val="00A96381"/>
    <w:rsid w:val="00A964A6"/>
    <w:rsid w:val="00A96C91"/>
    <w:rsid w:val="00A97080"/>
    <w:rsid w:val="00A9724E"/>
    <w:rsid w:val="00A97485"/>
    <w:rsid w:val="00A9750E"/>
    <w:rsid w:val="00A9751D"/>
    <w:rsid w:val="00AA0A55"/>
    <w:rsid w:val="00AA0F41"/>
    <w:rsid w:val="00AA157F"/>
    <w:rsid w:val="00AA1BF9"/>
    <w:rsid w:val="00AA24ED"/>
    <w:rsid w:val="00AA2569"/>
    <w:rsid w:val="00AA2D9A"/>
    <w:rsid w:val="00AA3159"/>
    <w:rsid w:val="00AA35FC"/>
    <w:rsid w:val="00AA392E"/>
    <w:rsid w:val="00AA3B78"/>
    <w:rsid w:val="00AA3D4A"/>
    <w:rsid w:val="00AA41AE"/>
    <w:rsid w:val="00AA53E8"/>
    <w:rsid w:val="00AA5A24"/>
    <w:rsid w:val="00AA5D26"/>
    <w:rsid w:val="00AA6F8F"/>
    <w:rsid w:val="00AA78AF"/>
    <w:rsid w:val="00AA7984"/>
    <w:rsid w:val="00AA7A04"/>
    <w:rsid w:val="00AA7C77"/>
    <w:rsid w:val="00AA7E39"/>
    <w:rsid w:val="00AB11AB"/>
    <w:rsid w:val="00AB1445"/>
    <w:rsid w:val="00AB1AB8"/>
    <w:rsid w:val="00AB1B42"/>
    <w:rsid w:val="00AB1DE4"/>
    <w:rsid w:val="00AB2216"/>
    <w:rsid w:val="00AB2597"/>
    <w:rsid w:val="00AB2847"/>
    <w:rsid w:val="00AB4CD4"/>
    <w:rsid w:val="00AB4F3B"/>
    <w:rsid w:val="00AB4FE7"/>
    <w:rsid w:val="00AB5A13"/>
    <w:rsid w:val="00AB6D74"/>
    <w:rsid w:val="00AB7557"/>
    <w:rsid w:val="00AC0521"/>
    <w:rsid w:val="00AC064E"/>
    <w:rsid w:val="00AC0C0C"/>
    <w:rsid w:val="00AC0C22"/>
    <w:rsid w:val="00AC0C81"/>
    <w:rsid w:val="00AC1111"/>
    <w:rsid w:val="00AC163A"/>
    <w:rsid w:val="00AC2001"/>
    <w:rsid w:val="00AC261B"/>
    <w:rsid w:val="00AC28B9"/>
    <w:rsid w:val="00AC2D7C"/>
    <w:rsid w:val="00AC35E5"/>
    <w:rsid w:val="00AC4063"/>
    <w:rsid w:val="00AC4995"/>
    <w:rsid w:val="00AC4F62"/>
    <w:rsid w:val="00AC5C6D"/>
    <w:rsid w:val="00AC60B1"/>
    <w:rsid w:val="00AC6216"/>
    <w:rsid w:val="00AC6C70"/>
    <w:rsid w:val="00AC70A1"/>
    <w:rsid w:val="00AC7B3B"/>
    <w:rsid w:val="00AC7BF8"/>
    <w:rsid w:val="00AC7FF2"/>
    <w:rsid w:val="00AD02E0"/>
    <w:rsid w:val="00AD04ED"/>
    <w:rsid w:val="00AD055F"/>
    <w:rsid w:val="00AD087A"/>
    <w:rsid w:val="00AD0AC9"/>
    <w:rsid w:val="00AD1368"/>
    <w:rsid w:val="00AD13DB"/>
    <w:rsid w:val="00AD17A5"/>
    <w:rsid w:val="00AD1985"/>
    <w:rsid w:val="00AD28CB"/>
    <w:rsid w:val="00AD2B30"/>
    <w:rsid w:val="00AD309E"/>
    <w:rsid w:val="00AD38FC"/>
    <w:rsid w:val="00AD4175"/>
    <w:rsid w:val="00AD485B"/>
    <w:rsid w:val="00AD4997"/>
    <w:rsid w:val="00AD5A59"/>
    <w:rsid w:val="00AD5ACB"/>
    <w:rsid w:val="00AD5F97"/>
    <w:rsid w:val="00AD69A8"/>
    <w:rsid w:val="00AD7141"/>
    <w:rsid w:val="00AD7B77"/>
    <w:rsid w:val="00AE0067"/>
    <w:rsid w:val="00AE024F"/>
    <w:rsid w:val="00AE0BA7"/>
    <w:rsid w:val="00AE0DC7"/>
    <w:rsid w:val="00AE1A0B"/>
    <w:rsid w:val="00AE34BD"/>
    <w:rsid w:val="00AE353D"/>
    <w:rsid w:val="00AE3696"/>
    <w:rsid w:val="00AE3727"/>
    <w:rsid w:val="00AE379C"/>
    <w:rsid w:val="00AE39F4"/>
    <w:rsid w:val="00AE3E49"/>
    <w:rsid w:val="00AE45E6"/>
    <w:rsid w:val="00AE494C"/>
    <w:rsid w:val="00AE49B8"/>
    <w:rsid w:val="00AE4CBD"/>
    <w:rsid w:val="00AE51C7"/>
    <w:rsid w:val="00AE5647"/>
    <w:rsid w:val="00AE583B"/>
    <w:rsid w:val="00AE597E"/>
    <w:rsid w:val="00AE5BFF"/>
    <w:rsid w:val="00AE7009"/>
    <w:rsid w:val="00AE75F5"/>
    <w:rsid w:val="00AE76C1"/>
    <w:rsid w:val="00AE79A2"/>
    <w:rsid w:val="00AE7C7E"/>
    <w:rsid w:val="00AE7ED6"/>
    <w:rsid w:val="00AF01BD"/>
    <w:rsid w:val="00AF09C9"/>
    <w:rsid w:val="00AF09EE"/>
    <w:rsid w:val="00AF14FD"/>
    <w:rsid w:val="00AF176C"/>
    <w:rsid w:val="00AF19D8"/>
    <w:rsid w:val="00AF1AEF"/>
    <w:rsid w:val="00AF208D"/>
    <w:rsid w:val="00AF20F0"/>
    <w:rsid w:val="00AF297D"/>
    <w:rsid w:val="00AF2F62"/>
    <w:rsid w:val="00AF356B"/>
    <w:rsid w:val="00AF3C74"/>
    <w:rsid w:val="00AF40E0"/>
    <w:rsid w:val="00AF4573"/>
    <w:rsid w:val="00AF4991"/>
    <w:rsid w:val="00AF4CEE"/>
    <w:rsid w:val="00AF5167"/>
    <w:rsid w:val="00AF55E2"/>
    <w:rsid w:val="00AF560A"/>
    <w:rsid w:val="00AF5C51"/>
    <w:rsid w:val="00AF6473"/>
    <w:rsid w:val="00AF666B"/>
    <w:rsid w:val="00AF66F6"/>
    <w:rsid w:val="00AF6ECF"/>
    <w:rsid w:val="00AF7248"/>
    <w:rsid w:val="00AF772A"/>
    <w:rsid w:val="00AF7FE8"/>
    <w:rsid w:val="00B0011A"/>
    <w:rsid w:val="00B00215"/>
    <w:rsid w:val="00B00C23"/>
    <w:rsid w:val="00B01101"/>
    <w:rsid w:val="00B03534"/>
    <w:rsid w:val="00B03E8F"/>
    <w:rsid w:val="00B04068"/>
    <w:rsid w:val="00B04502"/>
    <w:rsid w:val="00B04505"/>
    <w:rsid w:val="00B045E4"/>
    <w:rsid w:val="00B04796"/>
    <w:rsid w:val="00B049A9"/>
    <w:rsid w:val="00B04EAA"/>
    <w:rsid w:val="00B04F5E"/>
    <w:rsid w:val="00B05530"/>
    <w:rsid w:val="00B058A1"/>
    <w:rsid w:val="00B061B0"/>
    <w:rsid w:val="00B06218"/>
    <w:rsid w:val="00B0675C"/>
    <w:rsid w:val="00B06840"/>
    <w:rsid w:val="00B06E15"/>
    <w:rsid w:val="00B10C23"/>
    <w:rsid w:val="00B1125B"/>
    <w:rsid w:val="00B1137C"/>
    <w:rsid w:val="00B12309"/>
    <w:rsid w:val="00B12634"/>
    <w:rsid w:val="00B126CF"/>
    <w:rsid w:val="00B1342F"/>
    <w:rsid w:val="00B135EF"/>
    <w:rsid w:val="00B14F78"/>
    <w:rsid w:val="00B15697"/>
    <w:rsid w:val="00B157CD"/>
    <w:rsid w:val="00B15DDC"/>
    <w:rsid w:val="00B161CA"/>
    <w:rsid w:val="00B166F8"/>
    <w:rsid w:val="00B1729C"/>
    <w:rsid w:val="00B1734F"/>
    <w:rsid w:val="00B17BDC"/>
    <w:rsid w:val="00B17FFC"/>
    <w:rsid w:val="00B20010"/>
    <w:rsid w:val="00B212F5"/>
    <w:rsid w:val="00B213A2"/>
    <w:rsid w:val="00B21605"/>
    <w:rsid w:val="00B219B4"/>
    <w:rsid w:val="00B21CA0"/>
    <w:rsid w:val="00B21DD6"/>
    <w:rsid w:val="00B21FA8"/>
    <w:rsid w:val="00B2236D"/>
    <w:rsid w:val="00B22540"/>
    <w:rsid w:val="00B23180"/>
    <w:rsid w:val="00B238E8"/>
    <w:rsid w:val="00B23A85"/>
    <w:rsid w:val="00B24AA5"/>
    <w:rsid w:val="00B24B5A"/>
    <w:rsid w:val="00B24CCB"/>
    <w:rsid w:val="00B24CEC"/>
    <w:rsid w:val="00B258A7"/>
    <w:rsid w:val="00B25F0D"/>
    <w:rsid w:val="00B2652C"/>
    <w:rsid w:val="00B2666E"/>
    <w:rsid w:val="00B27372"/>
    <w:rsid w:val="00B279AB"/>
    <w:rsid w:val="00B27B9B"/>
    <w:rsid w:val="00B27CF1"/>
    <w:rsid w:val="00B300E6"/>
    <w:rsid w:val="00B30145"/>
    <w:rsid w:val="00B301D1"/>
    <w:rsid w:val="00B30264"/>
    <w:rsid w:val="00B30EDC"/>
    <w:rsid w:val="00B31A5C"/>
    <w:rsid w:val="00B32521"/>
    <w:rsid w:val="00B33468"/>
    <w:rsid w:val="00B33744"/>
    <w:rsid w:val="00B3404A"/>
    <w:rsid w:val="00B340BC"/>
    <w:rsid w:val="00B34ACA"/>
    <w:rsid w:val="00B34BB3"/>
    <w:rsid w:val="00B34FFB"/>
    <w:rsid w:val="00B35267"/>
    <w:rsid w:val="00B357F3"/>
    <w:rsid w:val="00B35A49"/>
    <w:rsid w:val="00B35AD1"/>
    <w:rsid w:val="00B35C3A"/>
    <w:rsid w:val="00B361C4"/>
    <w:rsid w:val="00B362BD"/>
    <w:rsid w:val="00B37048"/>
    <w:rsid w:val="00B4029A"/>
    <w:rsid w:val="00B4073D"/>
    <w:rsid w:val="00B40A4F"/>
    <w:rsid w:val="00B40C7F"/>
    <w:rsid w:val="00B41367"/>
    <w:rsid w:val="00B41680"/>
    <w:rsid w:val="00B4209D"/>
    <w:rsid w:val="00B422EB"/>
    <w:rsid w:val="00B4250F"/>
    <w:rsid w:val="00B4258C"/>
    <w:rsid w:val="00B42624"/>
    <w:rsid w:val="00B42B68"/>
    <w:rsid w:val="00B42F59"/>
    <w:rsid w:val="00B42FD2"/>
    <w:rsid w:val="00B43369"/>
    <w:rsid w:val="00B43D71"/>
    <w:rsid w:val="00B43E3B"/>
    <w:rsid w:val="00B441EF"/>
    <w:rsid w:val="00B44909"/>
    <w:rsid w:val="00B45207"/>
    <w:rsid w:val="00B45990"/>
    <w:rsid w:val="00B45E58"/>
    <w:rsid w:val="00B460C1"/>
    <w:rsid w:val="00B46EC8"/>
    <w:rsid w:val="00B47710"/>
    <w:rsid w:val="00B478C3"/>
    <w:rsid w:val="00B47D09"/>
    <w:rsid w:val="00B47E72"/>
    <w:rsid w:val="00B50056"/>
    <w:rsid w:val="00B50061"/>
    <w:rsid w:val="00B50BE4"/>
    <w:rsid w:val="00B50C7F"/>
    <w:rsid w:val="00B50F46"/>
    <w:rsid w:val="00B515AA"/>
    <w:rsid w:val="00B51F18"/>
    <w:rsid w:val="00B5247A"/>
    <w:rsid w:val="00B524BD"/>
    <w:rsid w:val="00B52BC2"/>
    <w:rsid w:val="00B52BDD"/>
    <w:rsid w:val="00B53B5E"/>
    <w:rsid w:val="00B53E2C"/>
    <w:rsid w:val="00B54752"/>
    <w:rsid w:val="00B549F1"/>
    <w:rsid w:val="00B54AAD"/>
    <w:rsid w:val="00B55121"/>
    <w:rsid w:val="00B55224"/>
    <w:rsid w:val="00B554A0"/>
    <w:rsid w:val="00B55F68"/>
    <w:rsid w:val="00B57739"/>
    <w:rsid w:val="00B57B07"/>
    <w:rsid w:val="00B60094"/>
    <w:rsid w:val="00B6075A"/>
    <w:rsid w:val="00B60A83"/>
    <w:rsid w:val="00B613A2"/>
    <w:rsid w:val="00B61B7A"/>
    <w:rsid w:val="00B61E5E"/>
    <w:rsid w:val="00B61F4C"/>
    <w:rsid w:val="00B62CDB"/>
    <w:rsid w:val="00B6363F"/>
    <w:rsid w:val="00B642A6"/>
    <w:rsid w:val="00B645E1"/>
    <w:rsid w:val="00B6478E"/>
    <w:rsid w:val="00B6500E"/>
    <w:rsid w:val="00B65357"/>
    <w:rsid w:val="00B6563B"/>
    <w:rsid w:val="00B65FDD"/>
    <w:rsid w:val="00B664E9"/>
    <w:rsid w:val="00B6656C"/>
    <w:rsid w:val="00B66636"/>
    <w:rsid w:val="00B668CD"/>
    <w:rsid w:val="00B66BF0"/>
    <w:rsid w:val="00B6719F"/>
    <w:rsid w:val="00B6793B"/>
    <w:rsid w:val="00B67EE2"/>
    <w:rsid w:val="00B7034A"/>
    <w:rsid w:val="00B7066B"/>
    <w:rsid w:val="00B70AFD"/>
    <w:rsid w:val="00B70E20"/>
    <w:rsid w:val="00B7184F"/>
    <w:rsid w:val="00B718B2"/>
    <w:rsid w:val="00B720CD"/>
    <w:rsid w:val="00B72254"/>
    <w:rsid w:val="00B725CF"/>
    <w:rsid w:val="00B7274B"/>
    <w:rsid w:val="00B728D9"/>
    <w:rsid w:val="00B728F8"/>
    <w:rsid w:val="00B72902"/>
    <w:rsid w:val="00B7335A"/>
    <w:rsid w:val="00B73449"/>
    <w:rsid w:val="00B73F62"/>
    <w:rsid w:val="00B7410C"/>
    <w:rsid w:val="00B74CB7"/>
    <w:rsid w:val="00B75B19"/>
    <w:rsid w:val="00B76D6B"/>
    <w:rsid w:val="00B770DA"/>
    <w:rsid w:val="00B77535"/>
    <w:rsid w:val="00B775BB"/>
    <w:rsid w:val="00B77674"/>
    <w:rsid w:val="00B778FD"/>
    <w:rsid w:val="00B77A6D"/>
    <w:rsid w:val="00B77F9F"/>
    <w:rsid w:val="00B80318"/>
    <w:rsid w:val="00B80592"/>
    <w:rsid w:val="00B80FB2"/>
    <w:rsid w:val="00B8294F"/>
    <w:rsid w:val="00B83064"/>
    <w:rsid w:val="00B837B2"/>
    <w:rsid w:val="00B83C13"/>
    <w:rsid w:val="00B83FB8"/>
    <w:rsid w:val="00B84686"/>
    <w:rsid w:val="00B84711"/>
    <w:rsid w:val="00B85424"/>
    <w:rsid w:val="00B85E1A"/>
    <w:rsid w:val="00B8629C"/>
    <w:rsid w:val="00B86763"/>
    <w:rsid w:val="00B8747F"/>
    <w:rsid w:val="00B87A2A"/>
    <w:rsid w:val="00B87B3A"/>
    <w:rsid w:val="00B90291"/>
    <w:rsid w:val="00B90892"/>
    <w:rsid w:val="00B90921"/>
    <w:rsid w:val="00B909CD"/>
    <w:rsid w:val="00B90A98"/>
    <w:rsid w:val="00B911C2"/>
    <w:rsid w:val="00B91224"/>
    <w:rsid w:val="00B9126B"/>
    <w:rsid w:val="00B9217B"/>
    <w:rsid w:val="00B92D8E"/>
    <w:rsid w:val="00B930AC"/>
    <w:rsid w:val="00B932FD"/>
    <w:rsid w:val="00B93851"/>
    <w:rsid w:val="00B93BC7"/>
    <w:rsid w:val="00B93DBD"/>
    <w:rsid w:val="00B9410D"/>
    <w:rsid w:val="00B9459A"/>
    <w:rsid w:val="00B94721"/>
    <w:rsid w:val="00B95D95"/>
    <w:rsid w:val="00B960B6"/>
    <w:rsid w:val="00B97819"/>
    <w:rsid w:val="00B97CCB"/>
    <w:rsid w:val="00BA02FE"/>
    <w:rsid w:val="00BA0595"/>
    <w:rsid w:val="00BA06ED"/>
    <w:rsid w:val="00BA0915"/>
    <w:rsid w:val="00BA0CBD"/>
    <w:rsid w:val="00BA12DB"/>
    <w:rsid w:val="00BA204F"/>
    <w:rsid w:val="00BA2BA1"/>
    <w:rsid w:val="00BA2D66"/>
    <w:rsid w:val="00BA3183"/>
    <w:rsid w:val="00BA33B4"/>
    <w:rsid w:val="00BA36D7"/>
    <w:rsid w:val="00BA3843"/>
    <w:rsid w:val="00BA3DEE"/>
    <w:rsid w:val="00BA3EC8"/>
    <w:rsid w:val="00BA4BC8"/>
    <w:rsid w:val="00BA5B40"/>
    <w:rsid w:val="00BA5FB9"/>
    <w:rsid w:val="00BA659E"/>
    <w:rsid w:val="00BA682B"/>
    <w:rsid w:val="00BA7C96"/>
    <w:rsid w:val="00BA7CC6"/>
    <w:rsid w:val="00BA7F30"/>
    <w:rsid w:val="00BA7FCF"/>
    <w:rsid w:val="00BA7FF9"/>
    <w:rsid w:val="00BB0C16"/>
    <w:rsid w:val="00BB12E9"/>
    <w:rsid w:val="00BB1303"/>
    <w:rsid w:val="00BB2387"/>
    <w:rsid w:val="00BB3694"/>
    <w:rsid w:val="00BB37CC"/>
    <w:rsid w:val="00BB40D7"/>
    <w:rsid w:val="00BB425C"/>
    <w:rsid w:val="00BB4524"/>
    <w:rsid w:val="00BB4ACD"/>
    <w:rsid w:val="00BB5069"/>
    <w:rsid w:val="00BB53C1"/>
    <w:rsid w:val="00BB61F5"/>
    <w:rsid w:val="00BB6FFA"/>
    <w:rsid w:val="00BB70C2"/>
    <w:rsid w:val="00BB7685"/>
    <w:rsid w:val="00BB7981"/>
    <w:rsid w:val="00BB7B58"/>
    <w:rsid w:val="00BB7D12"/>
    <w:rsid w:val="00BC026B"/>
    <w:rsid w:val="00BC09FD"/>
    <w:rsid w:val="00BC0B70"/>
    <w:rsid w:val="00BC1D60"/>
    <w:rsid w:val="00BC1FE7"/>
    <w:rsid w:val="00BC2061"/>
    <w:rsid w:val="00BC20A7"/>
    <w:rsid w:val="00BC2208"/>
    <w:rsid w:val="00BC2A1B"/>
    <w:rsid w:val="00BC2B52"/>
    <w:rsid w:val="00BC3119"/>
    <w:rsid w:val="00BC3415"/>
    <w:rsid w:val="00BC349D"/>
    <w:rsid w:val="00BC37C0"/>
    <w:rsid w:val="00BC4C95"/>
    <w:rsid w:val="00BC4E65"/>
    <w:rsid w:val="00BC4E78"/>
    <w:rsid w:val="00BC5851"/>
    <w:rsid w:val="00BC5910"/>
    <w:rsid w:val="00BC605C"/>
    <w:rsid w:val="00BC67B8"/>
    <w:rsid w:val="00BC68D0"/>
    <w:rsid w:val="00BC7006"/>
    <w:rsid w:val="00BC77C6"/>
    <w:rsid w:val="00BC7C92"/>
    <w:rsid w:val="00BC7E06"/>
    <w:rsid w:val="00BD1B7A"/>
    <w:rsid w:val="00BD1F2C"/>
    <w:rsid w:val="00BD257F"/>
    <w:rsid w:val="00BD38DF"/>
    <w:rsid w:val="00BD3998"/>
    <w:rsid w:val="00BD3BA2"/>
    <w:rsid w:val="00BD3EB9"/>
    <w:rsid w:val="00BD43CA"/>
    <w:rsid w:val="00BD441D"/>
    <w:rsid w:val="00BD4628"/>
    <w:rsid w:val="00BD52F2"/>
    <w:rsid w:val="00BD58AB"/>
    <w:rsid w:val="00BD5B40"/>
    <w:rsid w:val="00BD6224"/>
    <w:rsid w:val="00BD6D89"/>
    <w:rsid w:val="00BD6E98"/>
    <w:rsid w:val="00BD6FB4"/>
    <w:rsid w:val="00BD7139"/>
    <w:rsid w:val="00BD723C"/>
    <w:rsid w:val="00BD73CF"/>
    <w:rsid w:val="00BD79F7"/>
    <w:rsid w:val="00BD7C81"/>
    <w:rsid w:val="00BE0406"/>
    <w:rsid w:val="00BE041D"/>
    <w:rsid w:val="00BE089D"/>
    <w:rsid w:val="00BE09AE"/>
    <w:rsid w:val="00BE0BA2"/>
    <w:rsid w:val="00BE0D19"/>
    <w:rsid w:val="00BE128B"/>
    <w:rsid w:val="00BE1C2D"/>
    <w:rsid w:val="00BE1F35"/>
    <w:rsid w:val="00BE2115"/>
    <w:rsid w:val="00BE239F"/>
    <w:rsid w:val="00BE2441"/>
    <w:rsid w:val="00BE2DFB"/>
    <w:rsid w:val="00BE3492"/>
    <w:rsid w:val="00BE4110"/>
    <w:rsid w:val="00BE45D3"/>
    <w:rsid w:val="00BE4669"/>
    <w:rsid w:val="00BE4682"/>
    <w:rsid w:val="00BE535C"/>
    <w:rsid w:val="00BE53CA"/>
    <w:rsid w:val="00BE6EA9"/>
    <w:rsid w:val="00BE7E60"/>
    <w:rsid w:val="00BF009C"/>
    <w:rsid w:val="00BF05C0"/>
    <w:rsid w:val="00BF096C"/>
    <w:rsid w:val="00BF0B1F"/>
    <w:rsid w:val="00BF0C43"/>
    <w:rsid w:val="00BF11CF"/>
    <w:rsid w:val="00BF16B9"/>
    <w:rsid w:val="00BF22BE"/>
    <w:rsid w:val="00BF281A"/>
    <w:rsid w:val="00BF2C02"/>
    <w:rsid w:val="00BF37F5"/>
    <w:rsid w:val="00BF3B6C"/>
    <w:rsid w:val="00BF4268"/>
    <w:rsid w:val="00BF4333"/>
    <w:rsid w:val="00BF45FA"/>
    <w:rsid w:val="00BF49E5"/>
    <w:rsid w:val="00BF50AE"/>
    <w:rsid w:val="00BF5213"/>
    <w:rsid w:val="00BF53D3"/>
    <w:rsid w:val="00BF5468"/>
    <w:rsid w:val="00BF559B"/>
    <w:rsid w:val="00BF57DD"/>
    <w:rsid w:val="00BF6B63"/>
    <w:rsid w:val="00BF6C2D"/>
    <w:rsid w:val="00BF78B9"/>
    <w:rsid w:val="00BF7B8D"/>
    <w:rsid w:val="00BF7E21"/>
    <w:rsid w:val="00C0133A"/>
    <w:rsid w:val="00C01F64"/>
    <w:rsid w:val="00C02081"/>
    <w:rsid w:val="00C031F1"/>
    <w:rsid w:val="00C036DC"/>
    <w:rsid w:val="00C036EB"/>
    <w:rsid w:val="00C03727"/>
    <w:rsid w:val="00C03BA5"/>
    <w:rsid w:val="00C03C4C"/>
    <w:rsid w:val="00C03E86"/>
    <w:rsid w:val="00C044B1"/>
    <w:rsid w:val="00C049E2"/>
    <w:rsid w:val="00C05362"/>
    <w:rsid w:val="00C05EE0"/>
    <w:rsid w:val="00C06265"/>
    <w:rsid w:val="00C06BA9"/>
    <w:rsid w:val="00C06DA2"/>
    <w:rsid w:val="00C0728D"/>
    <w:rsid w:val="00C072EC"/>
    <w:rsid w:val="00C07574"/>
    <w:rsid w:val="00C07587"/>
    <w:rsid w:val="00C075C5"/>
    <w:rsid w:val="00C077A0"/>
    <w:rsid w:val="00C102F7"/>
    <w:rsid w:val="00C103BC"/>
    <w:rsid w:val="00C10639"/>
    <w:rsid w:val="00C11284"/>
    <w:rsid w:val="00C114E6"/>
    <w:rsid w:val="00C11660"/>
    <w:rsid w:val="00C11EC6"/>
    <w:rsid w:val="00C12B89"/>
    <w:rsid w:val="00C130B4"/>
    <w:rsid w:val="00C135BA"/>
    <w:rsid w:val="00C13F5E"/>
    <w:rsid w:val="00C1425E"/>
    <w:rsid w:val="00C149A0"/>
    <w:rsid w:val="00C14CAE"/>
    <w:rsid w:val="00C151B9"/>
    <w:rsid w:val="00C15366"/>
    <w:rsid w:val="00C1585D"/>
    <w:rsid w:val="00C15966"/>
    <w:rsid w:val="00C15BFD"/>
    <w:rsid w:val="00C168DE"/>
    <w:rsid w:val="00C1693A"/>
    <w:rsid w:val="00C1713C"/>
    <w:rsid w:val="00C2009D"/>
    <w:rsid w:val="00C20312"/>
    <w:rsid w:val="00C20478"/>
    <w:rsid w:val="00C20B71"/>
    <w:rsid w:val="00C215C3"/>
    <w:rsid w:val="00C21C63"/>
    <w:rsid w:val="00C2213C"/>
    <w:rsid w:val="00C22C27"/>
    <w:rsid w:val="00C22C58"/>
    <w:rsid w:val="00C22F4B"/>
    <w:rsid w:val="00C23051"/>
    <w:rsid w:val="00C230DF"/>
    <w:rsid w:val="00C2539B"/>
    <w:rsid w:val="00C2572C"/>
    <w:rsid w:val="00C25C38"/>
    <w:rsid w:val="00C25EA5"/>
    <w:rsid w:val="00C26073"/>
    <w:rsid w:val="00C26682"/>
    <w:rsid w:val="00C27B3C"/>
    <w:rsid w:val="00C27D7B"/>
    <w:rsid w:val="00C30DFE"/>
    <w:rsid w:val="00C30E6D"/>
    <w:rsid w:val="00C30F0C"/>
    <w:rsid w:val="00C30F50"/>
    <w:rsid w:val="00C312A4"/>
    <w:rsid w:val="00C314D9"/>
    <w:rsid w:val="00C31B48"/>
    <w:rsid w:val="00C31C0A"/>
    <w:rsid w:val="00C32219"/>
    <w:rsid w:val="00C3249D"/>
    <w:rsid w:val="00C324B1"/>
    <w:rsid w:val="00C33384"/>
    <w:rsid w:val="00C336F7"/>
    <w:rsid w:val="00C33F4D"/>
    <w:rsid w:val="00C34470"/>
    <w:rsid w:val="00C34CDD"/>
    <w:rsid w:val="00C3528C"/>
    <w:rsid w:val="00C35582"/>
    <w:rsid w:val="00C35776"/>
    <w:rsid w:val="00C360B6"/>
    <w:rsid w:val="00C363B4"/>
    <w:rsid w:val="00C3660E"/>
    <w:rsid w:val="00C36CBB"/>
    <w:rsid w:val="00C37EF8"/>
    <w:rsid w:val="00C402ED"/>
    <w:rsid w:val="00C40359"/>
    <w:rsid w:val="00C40AE1"/>
    <w:rsid w:val="00C40B49"/>
    <w:rsid w:val="00C40BFC"/>
    <w:rsid w:val="00C40C38"/>
    <w:rsid w:val="00C41107"/>
    <w:rsid w:val="00C423B8"/>
    <w:rsid w:val="00C43092"/>
    <w:rsid w:val="00C43338"/>
    <w:rsid w:val="00C435A5"/>
    <w:rsid w:val="00C43F5F"/>
    <w:rsid w:val="00C4417F"/>
    <w:rsid w:val="00C4426B"/>
    <w:rsid w:val="00C45B1D"/>
    <w:rsid w:val="00C45D24"/>
    <w:rsid w:val="00C461D3"/>
    <w:rsid w:val="00C4627C"/>
    <w:rsid w:val="00C462EF"/>
    <w:rsid w:val="00C466CB"/>
    <w:rsid w:val="00C467CC"/>
    <w:rsid w:val="00C4770B"/>
    <w:rsid w:val="00C478A0"/>
    <w:rsid w:val="00C47C2F"/>
    <w:rsid w:val="00C47FA3"/>
    <w:rsid w:val="00C50279"/>
    <w:rsid w:val="00C506D4"/>
    <w:rsid w:val="00C50865"/>
    <w:rsid w:val="00C50DDE"/>
    <w:rsid w:val="00C5111A"/>
    <w:rsid w:val="00C5122D"/>
    <w:rsid w:val="00C51B40"/>
    <w:rsid w:val="00C5208C"/>
    <w:rsid w:val="00C52AE2"/>
    <w:rsid w:val="00C53938"/>
    <w:rsid w:val="00C53A44"/>
    <w:rsid w:val="00C53CDC"/>
    <w:rsid w:val="00C542E3"/>
    <w:rsid w:val="00C5431F"/>
    <w:rsid w:val="00C545D7"/>
    <w:rsid w:val="00C55958"/>
    <w:rsid w:val="00C55B54"/>
    <w:rsid w:val="00C55E7F"/>
    <w:rsid w:val="00C55FC2"/>
    <w:rsid w:val="00C56195"/>
    <w:rsid w:val="00C56C88"/>
    <w:rsid w:val="00C56DFF"/>
    <w:rsid w:val="00C5733A"/>
    <w:rsid w:val="00C574CA"/>
    <w:rsid w:val="00C576D8"/>
    <w:rsid w:val="00C57BCB"/>
    <w:rsid w:val="00C57D9B"/>
    <w:rsid w:val="00C6031A"/>
    <w:rsid w:val="00C6032C"/>
    <w:rsid w:val="00C6043E"/>
    <w:rsid w:val="00C6050D"/>
    <w:rsid w:val="00C60AD6"/>
    <w:rsid w:val="00C60B17"/>
    <w:rsid w:val="00C60FFF"/>
    <w:rsid w:val="00C61845"/>
    <w:rsid w:val="00C627EC"/>
    <w:rsid w:val="00C62F2B"/>
    <w:rsid w:val="00C63469"/>
    <w:rsid w:val="00C638F9"/>
    <w:rsid w:val="00C63DD8"/>
    <w:rsid w:val="00C6402D"/>
    <w:rsid w:val="00C64BEA"/>
    <w:rsid w:val="00C65133"/>
    <w:rsid w:val="00C65AF1"/>
    <w:rsid w:val="00C661CB"/>
    <w:rsid w:val="00C670E5"/>
    <w:rsid w:val="00C70070"/>
    <w:rsid w:val="00C70515"/>
    <w:rsid w:val="00C70676"/>
    <w:rsid w:val="00C70FB5"/>
    <w:rsid w:val="00C716D2"/>
    <w:rsid w:val="00C71CD1"/>
    <w:rsid w:val="00C72C5E"/>
    <w:rsid w:val="00C73743"/>
    <w:rsid w:val="00C73BFE"/>
    <w:rsid w:val="00C73E01"/>
    <w:rsid w:val="00C74710"/>
    <w:rsid w:val="00C748D4"/>
    <w:rsid w:val="00C748E2"/>
    <w:rsid w:val="00C756D4"/>
    <w:rsid w:val="00C7590E"/>
    <w:rsid w:val="00C75B97"/>
    <w:rsid w:val="00C771A0"/>
    <w:rsid w:val="00C779B8"/>
    <w:rsid w:val="00C77A4B"/>
    <w:rsid w:val="00C77D62"/>
    <w:rsid w:val="00C77FBB"/>
    <w:rsid w:val="00C804AC"/>
    <w:rsid w:val="00C808CB"/>
    <w:rsid w:val="00C81388"/>
    <w:rsid w:val="00C819CE"/>
    <w:rsid w:val="00C81E7A"/>
    <w:rsid w:val="00C82199"/>
    <w:rsid w:val="00C82443"/>
    <w:rsid w:val="00C8262D"/>
    <w:rsid w:val="00C82C16"/>
    <w:rsid w:val="00C82E2F"/>
    <w:rsid w:val="00C83305"/>
    <w:rsid w:val="00C83506"/>
    <w:rsid w:val="00C83B4C"/>
    <w:rsid w:val="00C8422C"/>
    <w:rsid w:val="00C85B7E"/>
    <w:rsid w:val="00C86B64"/>
    <w:rsid w:val="00C87312"/>
    <w:rsid w:val="00C87387"/>
    <w:rsid w:val="00C90217"/>
    <w:rsid w:val="00C902A6"/>
    <w:rsid w:val="00C907A8"/>
    <w:rsid w:val="00C913AF"/>
    <w:rsid w:val="00C9158E"/>
    <w:rsid w:val="00C92A9B"/>
    <w:rsid w:val="00C9355D"/>
    <w:rsid w:val="00C93565"/>
    <w:rsid w:val="00C93D2C"/>
    <w:rsid w:val="00C93E33"/>
    <w:rsid w:val="00C9413E"/>
    <w:rsid w:val="00C946CC"/>
    <w:rsid w:val="00C9471D"/>
    <w:rsid w:val="00C94F55"/>
    <w:rsid w:val="00C95D1A"/>
    <w:rsid w:val="00C963FF"/>
    <w:rsid w:val="00C96D1D"/>
    <w:rsid w:val="00C96F6D"/>
    <w:rsid w:val="00C96FB0"/>
    <w:rsid w:val="00C976B2"/>
    <w:rsid w:val="00C97721"/>
    <w:rsid w:val="00CA03B7"/>
    <w:rsid w:val="00CA0A3C"/>
    <w:rsid w:val="00CA1497"/>
    <w:rsid w:val="00CA18C0"/>
    <w:rsid w:val="00CA1974"/>
    <w:rsid w:val="00CA221D"/>
    <w:rsid w:val="00CA2812"/>
    <w:rsid w:val="00CA2969"/>
    <w:rsid w:val="00CA2C23"/>
    <w:rsid w:val="00CA30E3"/>
    <w:rsid w:val="00CA328B"/>
    <w:rsid w:val="00CA33E1"/>
    <w:rsid w:val="00CA3A75"/>
    <w:rsid w:val="00CA3D04"/>
    <w:rsid w:val="00CA3FB6"/>
    <w:rsid w:val="00CA4C17"/>
    <w:rsid w:val="00CA4CED"/>
    <w:rsid w:val="00CA5975"/>
    <w:rsid w:val="00CA5E10"/>
    <w:rsid w:val="00CA632E"/>
    <w:rsid w:val="00CA71AA"/>
    <w:rsid w:val="00CA7234"/>
    <w:rsid w:val="00CA7795"/>
    <w:rsid w:val="00CA7803"/>
    <w:rsid w:val="00CA7A78"/>
    <w:rsid w:val="00CA7F9F"/>
    <w:rsid w:val="00CB0B26"/>
    <w:rsid w:val="00CB0E50"/>
    <w:rsid w:val="00CB1649"/>
    <w:rsid w:val="00CB1657"/>
    <w:rsid w:val="00CB2475"/>
    <w:rsid w:val="00CB33D4"/>
    <w:rsid w:val="00CB33F7"/>
    <w:rsid w:val="00CB3968"/>
    <w:rsid w:val="00CB399F"/>
    <w:rsid w:val="00CB3B0B"/>
    <w:rsid w:val="00CB3E27"/>
    <w:rsid w:val="00CB4768"/>
    <w:rsid w:val="00CB4CF3"/>
    <w:rsid w:val="00CB52E6"/>
    <w:rsid w:val="00CB53A0"/>
    <w:rsid w:val="00CB611C"/>
    <w:rsid w:val="00CB6283"/>
    <w:rsid w:val="00CB6407"/>
    <w:rsid w:val="00CB7A19"/>
    <w:rsid w:val="00CB7F31"/>
    <w:rsid w:val="00CC0A6E"/>
    <w:rsid w:val="00CC1060"/>
    <w:rsid w:val="00CC11C4"/>
    <w:rsid w:val="00CC12A0"/>
    <w:rsid w:val="00CC2458"/>
    <w:rsid w:val="00CC2DD0"/>
    <w:rsid w:val="00CC2E80"/>
    <w:rsid w:val="00CC41F2"/>
    <w:rsid w:val="00CC4471"/>
    <w:rsid w:val="00CC4C5C"/>
    <w:rsid w:val="00CC4D5A"/>
    <w:rsid w:val="00CC5AA8"/>
    <w:rsid w:val="00CC65EE"/>
    <w:rsid w:val="00CC682F"/>
    <w:rsid w:val="00CC6A08"/>
    <w:rsid w:val="00CC72F2"/>
    <w:rsid w:val="00CC7588"/>
    <w:rsid w:val="00CC79F9"/>
    <w:rsid w:val="00CC7E34"/>
    <w:rsid w:val="00CD19E3"/>
    <w:rsid w:val="00CD2409"/>
    <w:rsid w:val="00CD28D8"/>
    <w:rsid w:val="00CD29E3"/>
    <w:rsid w:val="00CD366E"/>
    <w:rsid w:val="00CD3BE9"/>
    <w:rsid w:val="00CD4748"/>
    <w:rsid w:val="00CD4F2C"/>
    <w:rsid w:val="00CD5A60"/>
    <w:rsid w:val="00CD5D8E"/>
    <w:rsid w:val="00CD6136"/>
    <w:rsid w:val="00CD684D"/>
    <w:rsid w:val="00CD6E64"/>
    <w:rsid w:val="00CD718F"/>
    <w:rsid w:val="00CD7445"/>
    <w:rsid w:val="00CD7FB0"/>
    <w:rsid w:val="00CE0412"/>
    <w:rsid w:val="00CE1143"/>
    <w:rsid w:val="00CE153F"/>
    <w:rsid w:val="00CE1FD5"/>
    <w:rsid w:val="00CE29C1"/>
    <w:rsid w:val="00CE2CBD"/>
    <w:rsid w:val="00CE33D0"/>
    <w:rsid w:val="00CE346C"/>
    <w:rsid w:val="00CE34A1"/>
    <w:rsid w:val="00CE3F58"/>
    <w:rsid w:val="00CE4720"/>
    <w:rsid w:val="00CE4F72"/>
    <w:rsid w:val="00CE5827"/>
    <w:rsid w:val="00CE68BD"/>
    <w:rsid w:val="00CE6F43"/>
    <w:rsid w:val="00CE7744"/>
    <w:rsid w:val="00CF039A"/>
    <w:rsid w:val="00CF0F6A"/>
    <w:rsid w:val="00CF1120"/>
    <w:rsid w:val="00CF260B"/>
    <w:rsid w:val="00CF2CCD"/>
    <w:rsid w:val="00CF3693"/>
    <w:rsid w:val="00CF3A97"/>
    <w:rsid w:val="00CF42A2"/>
    <w:rsid w:val="00CF453E"/>
    <w:rsid w:val="00CF46A7"/>
    <w:rsid w:val="00CF4A81"/>
    <w:rsid w:val="00CF4F6A"/>
    <w:rsid w:val="00CF511D"/>
    <w:rsid w:val="00CF516D"/>
    <w:rsid w:val="00CF60FF"/>
    <w:rsid w:val="00CF6256"/>
    <w:rsid w:val="00CF654E"/>
    <w:rsid w:val="00CF6D99"/>
    <w:rsid w:val="00CF6E2B"/>
    <w:rsid w:val="00CF6F59"/>
    <w:rsid w:val="00D001C3"/>
    <w:rsid w:val="00D0176C"/>
    <w:rsid w:val="00D02443"/>
    <w:rsid w:val="00D02B70"/>
    <w:rsid w:val="00D03A8A"/>
    <w:rsid w:val="00D03B99"/>
    <w:rsid w:val="00D04B36"/>
    <w:rsid w:val="00D04E49"/>
    <w:rsid w:val="00D052CC"/>
    <w:rsid w:val="00D058CF"/>
    <w:rsid w:val="00D05F18"/>
    <w:rsid w:val="00D06009"/>
    <w:rsid w:val="00D06CC6"/>
    <w:rsid w:val="00D06E44"/>
    <w:rsid w:val="00D07684"/>
    <w:rsid w:val="00D10396"/>
    <w:rsid w:val="00D1078B"/>
    <w:rsid w:val="00D10FF8"/>
    <w:rsid w:val="00D11096"/>
    <w:rsid w:val="00D11140"/>
    <w:rsid w:val="00D116D9"/>
    <w:rsid w:val="00D1179C"/>
    <w:rsid w:val="00D11ABF"/>
    <w:rsid w:val="00D11C80"/>
    <w:rsid w:val="00D11E98"/>
    <w:rsid w:val="00D122C0"/>
    <w:rsid w:val="00D125B2"/>
    <w:rsid w:val="00D126BE"/>
    <w:rsid w:val="00D12BBE"/>
    <w:rsid w:val="00D1315C"/>
    <w:rsid w:val="00D13380"/>
    <w:rsid w:val="00D134D8"/>
    <w:rsid w:val="00D1366C"/>
    <w:rsid w:val="00D13DD3"/>
    <w:rsid w:val="00D140EF"/>
    <w:rsid w:val="00D1466B"/>
    <w:rsid w:val="00D14BBF"/>
    <w:rsid w:val="00D14D39"/>
    <w:rsid w:val="00D14DD2"/>
    <w:rsid w:val="00D150D2"/>
    <w:rsid w:val="00D15440"/>
    <w:rsid w:val="00D15AF5"/>
    <w:rsid w:val="00D15D5C"/>
    <w:rsid w:val="00D1633A"/>
    <w:rsid w:val="00D16B8D"/>
    <w:rsid w:val="00D171E1"/>
    <w:rsid w:val="00D17271"/>
    <w:rsid w:val="00D17711"/>
    <w:rsid w:val="00D178A4"/>
    <w:rsid w:val="00D17941"/>
    <w:rsid w:val="00D17AE6"/>
    <w:rsid w:val="00D17BAB"/>
    <w:rsid w:val="00D20318"/>
    <w:rsid w:val="00D20F5A"/>
    <w:rsid w:val="00D213FC"/>
    <w:rsid w:val="00D215AF"/>
    <w:rsid w:val="00D21CA7"/>
    <w:rsid w:val="00D21E03"/>
    <w:rsid w:val="00D22721"/>
    <w:rsid w:val="00D233D1"/>
    <w:rsid w:val="00D237E3"/>
    <w:rsid w:val="00D237F5"/>
    <w:rsid w:val="00D23E7D"/>
    <w:rsid w:val="00D243AC"/>
    <w:rsid w:val="00D2446F"/>
    <w:rsid w:val="00D246FF"/>
    <w:rsid w:val="00D24A29"/>
    <w:rsid w:val="00D24B6B"/>
    <w:rsid w:val="00D24E27"/>
    <w:rsid w:val="00D25373"/>
    <w:rsid w:val="00D259D0"/>
    <w:rsid w:val="00D25BB6"/>
    <w:rsid w:val="00D2656D"/>
    <w:rsid w:val="00D2665B"/>
    <w:rsid w:val="00D2724E"/>
    <w:rsid w:val="00D2733B"/>
    <w:rsid w:val="00D273F7"/>
    <w:rsid w:val="00D2771A"/>
    <w:rsid w:val="00D27934"/>
    <w:rsid w:val="00D31D18"/>
    <w:rsid w:val="00D3237F"/>
    <w:rsid w:val="00D3274E"/>
    <w:rsid w:val="00D329C8"/>
    <w:rsid w:val="00D32BA8"/>
    <w:rsid w:val="00D32D32"/>
    <w:rsid w:val="00D32E83"/>
    <w:rsid w:val="00D32EA9"/>
    <w:rsid w:val="00D32F91"/>
    <w:rsid w:val="00D331F8"/>
    <w:rsid w:val="00D3329F"/>
    <w:rsid w:val="00D333DD"/>
    <w:rsid w:val="00D33627"/>
    <w:rsid w:val="00D336DC"/>
    <w:rsid w:val="00D3411A"/>
    <w:rsid w:val="00D34303"/>
    <w:rsid w:val="00D3478A"/>
    <w:rsid w:val="00D34D9E"/>
    <w:rsid w:val="00D34DEE"/>
    <w:rsid w:val="00D34F00"/>
    <w:rsid w:val="00D35B81"/>
    <w:rsid w:val="00D36CCE"/>
    <w:rsid w:val="00D370A4"/>
    <w:rsid w:val="00D37407"/>
    <w:rsid w:val="00D3770A"/>
    <w:rsid w:val="00D37909"/>
    <w:rsid w:val="00D40E9F"/>
    <w:rsid w:val="00D410B2"/>
    <w:rsid w:val="00D415B4"/>
    <w:rsid w:val="00D416E4"/>
    <w:rsid w:val="00D416F9"/>
    <w:rsid w:val="00D4175F"/>
    <w:rsid w:val="00D418D6"/>
    <w:rsid w:val="00D4268D"/>
    <w:rsid w:val="00D42733"/>
    <w:rsid w:val="00D427AB"/>
    <w:rsid w:val="00D430A6"/>
    <w:rsid w:val="00D43100"/>
    <w:rsid w:val="00D43533"/>
    <w:rsid w:val="00D43748"/>
    <w:rsid w:val="00D44109"/>
    <w:rsid w:val="00D44A57"/>
    <w:rsid w:val="00D4525E"/>
    <w:rsid w:val="00D46364"/>
    <w:rsid w:val="00D46622"/>
    <w:rsid w:val="00D46A09"/>
    <w:rsid w:val="00D46EFF"/>
    <w:rsid w:val="00D47CA3"/>
    <w:rsid w:val="00D47D19"/>
    <w:rsid w:val="00D506EC"/>
    <w:rsid w:val="00D50776"/>
    <w:rsid w:val="00D50D88"/>
    <w:rsid w:val="00D50F81"/>
    <w:rsid w:val="00D51120"/>
    <w:rsid w:val="00D512A2"/>
    <w:rsid w:val="00D51A17"/>
    <w:rsid w:val="00D51E15"/>
    <w:rsid w:val="00D52361"/>
    <w:rsid w:val="00D527F1"/>
    <w:rsid w:val="00D52980"/>
    <w:rsid w:val="00D52A31"/>
    <w:rsid w:val="00D53227"/>
    <w:rsid w:val="00D53469"/>
    <w:rsid w:val="00D53D16"/>
    <w:rsid w:val="00D551A2"/>
    <w:rsid w:val="00D55B9C"/>
    <w:rsid w:val="00D56075"/>
    <w:rsid w:val="00D572D0"/>
    <w:rsid w:val="00D579D9"/>
    <w:rsid w:val="00D60E9C"/>
    <w:rsid w:val="00D62080"/>
    <w:rsid w:val="00D62678"/>
    <w:rsid w:val="00D6290B"/>
    <w:rsid w:val="00D62F94"/>
    <w:rsid w:val="00D63CBD"/>
    <w:rsid w:val="00D6400B"/>
    <w:rsid w:val="00D64183"/>
    <w:rsid w:val="00D64601"/>
    <w:rsid w:val="00D646EF"/>
    <w:rsid w:val="00D64CB6"/>
    <w:rsid w:val="00D65819"/>
    <w:rsid w:val="00D65F2B"/>
    <w:rsid w:val="00D661D7"/>
    <w:rsid w:val="00D668A6"/>
    <w:rsid w:val="00D6691A"/>
    <w:rsid w:val="00D67187"/>
    <w:rsid w:val="00D67524"/>
    <w:rsid w:val="00D70394"/>
    <w:rsid w:val="00D71EAF"/>
    <w:rsid w:val="00D72915"/>
    <w:rsid w:val="00D72B31"/>
    <w:rsid w:val="00D72C99"/>
    <w:rsid w:val="00D72D7A"/>
    <w:rsid w:val="00D72F3A"/>
    <w:rsid w:val="00D732C1"/>
    <w:rsid w:val="00D7383B"/>
    <w:rsid w:val="00D739D0"/>
    <w:rsid w:val="00D75333"/>
    <w:rsid w:val="00D75DAB"/>
    <w:rsid w:val="00D760B5"/>
    <w:rsid w:val="00D7749E"/>
    <w:rsid w:val="00D80593"/>
    <w:rsid w:val="00D80721"/>
    <w:rsid w:val="00D8138D"/>
    <w:rsid w:val="00D816F3"/>
    <w:rsid w:val="00D81CCE"/>
    <w:rsid w:val="00D822BB"/>
    <w:rsid w:val="00D83D02"/>
    <w:rsid w:val="00D842A1"/>
    <w:rsid w:val="00D8444C"/>
    <w:rsid w:val="00D856DC"/>
    <w:rsid w:val="00D85E92"/>
    <w:rsid w:val="00D8685F"/>
    <w:rsid w:val="00D86A90"/>
    <w:rsid w:val="00D86ABE"/>
    <w:rsid w:val="00D86D08"/>
    <w:rsid w:val="00D86FCF"/>
    <w:rsid w:val="00D87020"/>
    <w:rsid w:val="00D8711B"/>
    <w:rsid w:val="00D87871"/>
    <w:rsid w:val="00D87C6A"/>
    <w:rsid w:val="00D87DB5"/>
    <w:rsid w:val="00D907E9"/>
    <w:rsid w:val="00D90AB8"/>
    <w:rsid w:val="00D911CF"/>
    <w:rsid w:val="00D91262"/>
    <w:rsid w:val="00D91598"/>
    <w:rsid w:val="00D918BE"/>
    <w:rsid w:val="00D91A9D"/>
    <w:rsid w:val="00D91AA7"/>
    <w:rsid w:val="00D91B04"/>
    <w:rsid w:val="00D91E80"/>
    <w:rsid w:val="00D93049"/>
    <w:rsid w:val="00D93430"/>
    <w:rsid w:val="00D937CB"/>
    <w:rsid w:val="00D93EF2"/>
    <w:rsid w:val="00D941BB"/>
    <w:rsid w:val="00D9429E"/>
    <w:rsid w:val="00D9467B"/>
    <w:rsid w:val="00D94988"/>
    <w:rsid w:val="00D95172"/>
    <w:rsid w:val="00D95495"/>
    <w:rsid w:val="00D95B65"/>
    <w:rsid w:val="00D9653F"/>
    <w:rsid w:val="00D9676C"/>
    <w:rsid w:val="00D96AC7"/>
    <w:rsid w:val="00D97575"/>
    <w:rsid w:val="00D9792E"/>
    <w:rsid w:val="00D97B2D"/>
    <w:rsid w:val="00D97CA1"/>
    <w:rsid w:val="00DA0112"/>
    <w:rsid w:val="00DA1C5C"/>
    <w:rsid w:val="00DA1DAA"/>
    <w:rsid w:val="00DA2F14"/>
    <w:rsid w:val="00DA302A"/>
    <w:rsid w:val="00DA3CA9"/>
    <w:rsid w:val="00DA3CC9"/>
    <w:rsid w:val="00DA403C"/>
    <w:rsid w:val="00DA4B1A"/>
    <w:rsid w:val="00DA52B2"/>
    <w:rsid w:val="00DA5317"/>
    <w:rsid w:val="00DA560E"/>
    <w:rsid w:val="00DA599F"/>
    <w:rsid w:val="00DA5CFD"/>
    <w:rsid w:val="00DA5D11"/>
    <w:rsid w:val="00DA6339"/>
    <w:rsid w:val="00DA63F1"/>
    <w:rsid w:val="00DA6505"/>
    <w:rsid w:val="00DA7726"/>
    <w:rsid w:val="00DA7B09"/>
    <w:rsid w:val="00DA7B21"/>
    <w:rsid w:val="00DB0392"/>
    <w:rsid w:val="00DB112A"/>
    <w:rsid w:val="00DB11FA"/>
    <w:rsid w:val="00DB156D"/>
    <w:rsid w:val="00DB18EF"/>
    <w:rsid w:val="00DB205C"/>
    <w:rsid w:val="00DB2B61"/>
    <w:rsid w:val="00DB2F7B"/>
    <w:rsid w:val="00DB4DFE"/>
    <w:rsid w:val="00DB593D"/>
    <w:rsid w:val="00DB5FEF"/>
    <w:rsid w:val="00DB6482"/>
    <w:rsid w:val="00DB651E"/>
    <w:rsid w:val="00DB6F73"/>
    <w:rsid w:val="00DB7160"/>
    <w:rsid w:val="00DB72E0"/>
    <w:rsid w:val="00DB75D7"/>
    <w:rsid w:val="00DC03CC"/>
    <w:rsid w:val="00DC0F47"/>
    <w:rsid w:val="00DC1205"/>
    <w:rsid w:val="00DC2737"/>
    <w:rsid w:val="00DC2AFC"/>
    <w:rsid w:val="00DC302A"/>
    <w:rsid w:val="00DC309B"/>
    <w:rsid w:val="00DC36D2"/>
    <w:rsid w:val="00DC3800"/>
    <w:rsid w:val="00DC4356"/>
    <w:rsid w:val="00DC447B"/>
    <w:rsid w:val="00DC4776"/>
    <w:rsid w:val="00DC48AD"/>
    <w:rsid w:val="00DC4CC6"/>
    <w:rsid w:val="00DC4E32"/>
    <w:rsid w:val="00DC5617"/>
    <w:rsid w:val="00DC56F7"/>
    <w:rsid w:val="00DC5BB2"/>
    <w:rsid w:val="00DC6A3C"/>
    <w:rsid w:val="00DC7AAE"/>
    <w:rsid w:val="00DD04C1"/>
    <w:rsid w:val="00DD0787"/>
    <w:rsid w:val="00DD0D1A"/>
    <w:rsid w:val="00DD1A25"/>
    <w:rsid w:val="00DD23DB"/>
    <w:rsid w:val="00DD248B"/>
    <w:rsid w:val="00DD24F0"/>
    <w:rsid w:val="00DD28BA"/>
    <w:rsid w:val="00DD2DEA"/>
    <w:rsid w:val="00DD318B"/>
    <w:rsid w:val="00DD3D0E"/>
    <w:rsid w:val="00DD452D"/>
    <w:rsid w:val="00DD47EF"/>
    <w:rsid w:val="00DD4B6C"/>
    <w:rsid w:val="00DD4FD5"/>
    <w:rsid w:val="00DD5AF2"/>
    <w:rsid w:val="00DD5FFA"/>
    <w:rsid w:val="00DD6C62"/>
    <w:rsid w:val="00DD6CB7"/>
    <w:rsid w:val="00DD6EDF"/>
    <w:rsid w:val="00DD7A79"/>
    <w:rsid w:val="00DD7AE9"/>
    <w:rsid w:val="00DD7F99"/>
    <w:rsid w:val="00DE03DA"/>
    <w:rsid w:val="00DE08D2"/>
    <w:rsid w:val="00DE0951"/>
    <w:rsid w:val="00DE09C7"/>
    <w:rsid w:val="00DE0C0B"/>
    <w:rsid w:val="00DE0F79"/>
    <w:rsid w:val="00DE15EB"/>
    <w:rsid w:val="00DE167D"/>
    <w:rsid w:val="00DE1E6F"/>
    <w:rsid w:val="00DE1E7A"/>
    <w:rsid w:val="00DE1EB4"/>
    <w:rsid w:val="00DE28F8"/>
    <w:rsid w:val="00DE3000"/>
    <w:rsid w:val="00DE302A"/>
    <w:rsid w:val="00DE3293"/>
    <w:rsid w:val="00DE3A2F"/>
    <w:rsid w:val="00DE42DC"/>
    <w:rsid w:val="00DE4C77"/>
    <w:rsid w:val="00DE4C7D"/>
    <w:rsid w:val="00DE4E0B"/>
    <w:rsid w:val="00DE4F0E"/>
    <w:rsid w:val="00DE5101"/>
    <w:rsid w:val="00DE5DC3"/>
    <w:rsid w:val="00DE60AF"/>
    <w:rsid w:val="00DE6340"/>
    <w:rsid w:val="00DE690D"/>
    <w:rsid w:val="00DE7127"/>
    <w:rsid w:val="00DE7163"/>
    <w:rsid w:val="00DE7E19"/>
    <w:rsid w:val="00DE7E42"/>
    <w:rsid w:val="00DE7EDC"/>
    <w:rsid w:val="00DF015A"/>
    <w:rsid w:val="00DF0162"/>
    <w:rsid w:val="00DF0756"/>
    <w:rsid w:val="00DF07B3"/>
    <w:rsid w:val="00DF293F"/>
    <w:rsid w:val="00DF2E6C"/>
    <w:rsid w:val="00DF325C"/>
    <w:rsid w:val="00DF4D08"/>
    <w:rsid w:val="00DF5B3E"/>
    <w:rsid w:val="00DF5E5A"/>
    <w:rsid w:val="00DF6B46"/>
    <w:rsid w:val="00DF7553"/>
    <w:rsid w:val="00DF761A"/>
    <w:rsid w:val="00DF7719"/>
    <w:rsid w:val="00E000B7"/>
    <w:rsid w:val="00E0071E"/>
    <w:rsid w:val="00E00866"/>
    <w:rsid w:val="00E00C8F"/>
    <w:rsid w:val="00E015F3"/>
    <w:rsid w:val="00E0175B"/>
    <w:rsid w:val="00E019BA"/>
    <w:rsid w:val="00E02406"/>
    <w:rsid w:val="00E0357E"/>
    <w:rsid w:val="00E04671"/>
    <w:rsid w:val="00E04EC5"/>
    <w:rsid w:val="00E04F3F"/>
    <w:rsid w:val="00E051FF"/>
    <w:rsid w:val="00E054DC"/>
    <w:rsid w:val="00E05BE1"/>
    <w:rsid w:val="00E05CE4"/>
    <w:rsid w:val="00E06D18"/>
    <w:rsid w:val="00E072AB"/>
    <w:rsid w:val="00E072EC"/>
    <w:rsid w:val="00E079ED"/>
    <w:rsid w:val="00E07F81"/>
    <w:rsid w:val="00E10688"/>
    <w:rsid w:val="00E113CF"/>
    <w:rsid w:val="00E115F1"/>
    <w:rsid w:val="00E11AD5"/>
    <w:rsid w:val="00E12276"/>
    <w:rsid w:val="00E1267D"/>
    <w:rsid w:val="00E129DE"/>
    <w:rsid w:val="00E12EC4"/>
    <w:rsid w:val="00E13789"/>
    <w:rsid w:val="00E137AE"/>
    <w:rsid w:val="00E14680"/>
    <w:rsid w:val="00E15847"/>
    <w:rsid w:val="00E15FC2"/>
    <w:rsid w:val="00E162A6"/>
    <w:rsid w:val="00E1674C"/>
    <w:rsid w:val="00E16958"/>
    <w:rsid w:val="00E16D85"/>
    <w:rsid w:val="00E16F9D"/>
    <w:rsid w:val="00E1722F"/>
    <w:rsid w:val="00E176B6"/>
    <w:rsid w:val="00E203C4"/>
    <w:rsid w:val="00E205A6"/>
    <w:rsid w:val="00E205B9"/>
    <w:rsid w:val="00E2095F"/>
    <w:rsid w:val="00E21762"/>
    <w:rsid w:val="00E22DFD"/>
    <w:rsid w:val="00E22E81"/>
    <w:rsid w:val="00E22F40"/>
    <w:rsid w:val="00E234C6"/>
    <w:rsid w:val="00E23F2E"/>
    <w:rsid w:val="00E24224"/>
    <w:rsid w:val="00E243BC"/>
    <w:rsid w:val="00E24D3B"/>
    <w:rsid w:val="00E25062"/>
    <w:rsid w:val="00E25B54"/>
    <w:rsid w:val="00E25DFA"/>
    <w:rsid w:val="00E26A3F"/>
    <w:rsid w:val="00E26B2E"/>
    <w:rsid w:val="00E26F0F"/>
    <w:rsid w:val="00E27613"/>
    <w:rsid w:val="00E27800"/>
    <w:rsid w:val="00E27A43"/>
    <w:rsid w:val="00E27EBE"/>
    <w:rsid w:val="00E27ED1"/>
    <w:rsid w:val="00E301BA"/>
    <w:rsid w:val="00E304F9"/>
    <w:rsid w:val="00E311B7"/>
    <w:rsid w:val="00E317C7"/>
    <w:rsid w:val="00E31B91"/>
    <w:rsid w:val="00E31CCD"/>
    <w:rsid w:val="00E3222D"/>
    <w:rsid w:val="00E32291"/>
    <w:rsid w:val="00E32BAE"/>
    <w:rsid w:val="00E32F13"/>
    <w:rsid w:val="00E331D9"/>
    <w:rsid w:val="00E33992"/>
    <w:rsid w:val="00E33C3B"/>
    <w:rsid w:val="00E3412A"/>
    <w:rsid w:val="00E34338"/>
    <w:rsid w:val="00E3445B"/>
    <w:rsid w:val="00E3495E"/>
    <w:rsid w:val="00E35340"/>
    <w:rsid w:val="00E355FD"/>
    <w:rsid w:val="00E35EF3"/>
    <w:rsid w:val="00E3644E"/>
    <w:rsid w:val="00E366FB"/>
    <w:rsid w:val="00E36965"/>
    <w:rsid w:val="00E37C8F"/>
    <w:rsid w:val="00E37D28"/>
    <w:rsid w:val="00E4049E"/>
    <w:rsid w:val="00E4123B"/>
    <w:rsid w:val="00E41A41"/>
    <w:rsid w:val="00E42026"/>
    <w:rsid w:val="00E42747"/>
    <w:rsid w:val="00E42BA0"/>
    <w:rsid w:val="00E4326A"/>
    <w:rsid w:val="00E435F6"/>
    <w:rsid w:val="00E43B2E"/>
    <w:rsid w:val="00E43D9B"/>
    <w:rsid w:val="00E43ED4"/>
    <w:rsid w:val="00E4453D"/>
    <w:rsid w:val="00E44A0D"/>
    <w:rsid w:val="00E44BD2"/>
    <w:rsid w:val="00E453E1"/>
    <w:rsid w:val="00E45AE3"/>
    <w:rsid w:val="00E45B1C"/>
    <w:rsid w:val="00E461F7"/>
    <w:rsid w:val="00E46690"/>
    <w:rsid w:val="00E467B4"/>
    <w:rsid w:val="00E46A3F"/>
    <w:rsid w:val="00E470F1"/>
    <w:rsid w:val="00E4714A"/>
    <w:rsid w:val="00E47CC6"/>
    <w:rsid w:val="00E501E2"/>
    <w:rsid w:val="00E50267"/>
    <w:rsid w:val="00E50617"/>
    <w:rsid w:val="00E50C7E"/>
    <w:rsid w:val="00E50E38"/>
    <w:rsid w:val="00E514DF"/>
    <w:rsid w:val="00E51DBF"/>
    <w:rsid w:val="00E51FB6"/>
    <w:rsid w:val="00E5273A"/>
    <w:rsid w:val="00E52B5C"/>
    <w:rsid w:val="00E539B0"/>
    <w:rsid w:val="00E53B37"/>
    <w:rsid w:val="00E54E3C"/>
    <w:rsid w:val="00E54EDE"/>
    <w:rsid w:val="00E5514A"/>
    <w:rsid w:val="00E55A5C"/>
    <w:rsid w:val="00E55C68"/>
    <w:rsid w:val="00E55F58"/>
    <w:rsid w:val="00E55F91"/>
    <w:rsid w:val="00E56020"/>
    <w:rsid w:val="00E56199"/>
    <w:rsid w:val="00E56288"/>
    <w:rsid w:val="00E56682"/>
    <w:rsid w:val="00E56C28"/>
    <w:rsid w:val="00E5721B"/>
    <w:rsid w:val="00E579D3"/>
    <w:rsid w:val="00E57BF5"/>
    <w:rsid w:val="00E60E03"/>
    <w:rsid w:val="00E611B4"/>
    <w:rsid w:val="00E61BE0"/>
    <w:rsid w:val="00E621DE"/>
    <w:rsid w:val="00E63FEF"/>
    <w:rsid w:val="00E641AA"/>
    <w:rsid w:val="00E64214"/>
    <w:rsid w:val="00E6436E"/>
    <w:rsid w:val="00E64F29"/>
    <w:rsid w:val="00E6548B"/>
    <w:rsid w:val="00E654DF"/>
    <w:rsid w:val="00E65BDE"/>
    <w:rsid w:val="00E65E5A"/>
    <w:rsid w:val="00E65F5C"/>
    <w:rsid w:val="00E663AD"/>
    <w:rsid w:val="00E66F4C"/>
    <w:rsid w:val="00E67C63"/>
    <w:rsid w:val="00E709AC"/>
    <w:rsid w:val="00E70E27"/>
    <w:rsid w:val="00E71139"/>
    <w:rsid w:val="00E71809"/>
    <w:rsid w:val="00E71A2A"/>
    <w:rsid w:val="00E7275E"/>
    <w:rsid w:val="00E72AA1"/>
    <w:rsid w:val="00E72E45"/>
    <w:rsid w:val="00E73339"/>
    <w:rsid w:val="00E733B2"/>
    <w:rsid w:val="00E738C4"/>
    <w:rsid w:val="00E73C69"/>
    <w:rsid w:val="00E73FB0"/>
    <w:rsid w:val="00E75073"/>
    <w:rsid w:val="00E75158"/>
    <w:rsid w:val="00E759AF"/>
    <w:rsid w:val="00E75AD3"/>
    <w:rsid w:val="00E75BE5"/>
    <w:rsid w:val="00E75E85"/>
    <w:rsid w:val="00E760F9"/>
    <w:rsid w:val="00E76A4C"/>
    <w:rsid w:val="00E77684"/>
    <w:rsid w:val="00E80312"/>
    <w:rsid w:val="00E8091D"/>
    <w:rsid w:val="00E8144B"/>
    <w:rsid w:val="00E817D9"/>
    <w:rsid w:val="00E81B54"/>
    <w:rsid w:val="00E81DCF"/>
    <w:rsid w:val="00E82574"/>
    <w:rsid w:val="00E82597"/>
    <w:rsid w:val="00E82A4B"/>
    <w:rsid w:val="00E82B43"/>
    <w:rsid w:val="00E82CF2"/>
    <w:rsid w:val="00E83074"/>
    <w:rsid w:val="00E83139"/>
    <w:rsid w:val="00E83DDC"/>
    <w:rsid w:val="00E83F2C"/>
    <w:rsid w:val="00E8402A"/>
    <w:rsid w:val="00E84134"/>
    <w:rsid w:val="00E84271"/>
    <w:rsid w:val="00E85079"/>
    <w:rsid w:val="00E85292"/>
    <w:rsid w:val="00E85869"/>
    <w:rsid w:val="00E866ED"/>
    <w:rsid w:val="00E8695B"/>
    <w:rsid w:val="00E86FB6"/>
    <w:rsid w:val="00E87851"/>
    <w:rsid w:val="00E879E8"/>
    <w:rsid w:val="00E87B37"/>
    <w:rsid w:val="00E87CFA"/>
    <w:rsid w:val="00E9000C"/>
    <w:rsid w:val="00E90EE2"/>
    <w:rsid w:val="00E91585"/>
    <w:rsid w:val="00E917AC"/>
    <w:rsid w:val="00E918A5"/>
    <w:rsid w:val="00E91F23"/>
    <w:rsid w:val="00E91F57"/>
    <w:rsid w:val="00E925BC"/>
    <w:rsid w:val="00E938AD"/>
    <w:rsid w:val="00E93E74"/>
    <w:rsid w:val="00E94287"/>
    <w:rsid w:val="00E94708"/>
    <w:rsid w:val="00E9522C"/>
    <w:rsid w:val="00E958F5"/>
    <w:rsid w:val="00E9594C"/>
    <w:rsid w:val="00E95A29"/>
    <w:rsid w:val="00E95B5A"/>
    <w:rsid w:val="00E96DDC"/>
    <w:rsid w:val="00E97153"/>
    <w:rsid w:val="00E971D3"/>
    <w:rsid w:val="00E976B7"/>
    <w:rsid w:val="00EA041C"/>
    <w:rsid w:val="00EA1252"/>
    <w:rsid w:val="00EA15D5"/>
    <w:rsid w:val="00EA168F"/>
    <w:rsid w:val="00EA1BFB"/>
    <w:rsid w:val="00EA1FF1"/>
    <w:rsid w:val="00EA2B5A"/>
    <w:rsid w:val="00EA2EA3"/>
    <w:rsid w:val="00EA366C"/>
    <w:rsid w:val="00EA3751"/>
    <w:rsid w:val="00EA3BD0"/>
    <w:rsid w:val="00EA4257"/>
    <w:rsid w:val="00EA4FD2"/>
    <w:rsid w:val="00EA514B"/>
    <w:rsid w:val="00EA57F7"/>
    <w:rsid w:val="00EA58D0"/>
    <w:rsid w:val="00EA5F4D"/>
    <w:rsid w:val="00EA6678"/>
    <w:rsid w:val="00EA6F05"/>
    <w:rsid w:val="00EA71B8"/>
    <w:rsid w:val="00EA78C6"/>
    <w:rsid w:val="00EA7E02"/>
    <w:rsid w:val="00EA7E5A"/>
    <w:rsid w:val="00EA7EA0"/>
    <w:rsid w:val="00EB0135"/>
    <w:rsid w:val="00EB098C"/>
    <w:rsid w:val="00EB1619"/>
    <w:rsid w:val="00EB1B2E"/>
    <w:rsid w:val="00EB1CD6"/>
    <w:rsid w:val="00EB1DA6"/>
    <w:rsid w:val="00EB2149"/>
    <w:rsid w:val="00EB2567"/>
    <w:rsid w:val="00EB274C"/>
    <w:rsid w:val="00EB2AC8"/>
    <w:rsid w:val="00EB2C82"/>
    <w:rsid w:val="00EB34CA"/>
    <w:rsid w:val="00EB37AA"/>
    <w:rsid w:val="00EB4697"/>
    <w:rsid w:val="00EB47F1"/>
    <w:rsid w:val="00EB5279"/>
    <w:rsid w:val="00EB5590"/>
    <w:rsid w:val="00EB56BF"/>
    <w:rsid w:val="00EB5F6A"/>
    <w:rsid w:val="00EB610C"/>
    <w:rsid w:val="00EB6A35"/>
    <w:rsid w:val="00EB70C8"/>
    <w:rsid w:val="00EB7611"/>
    <w:rsid w:val="00EB761A"/>
    <w:rsid w:val="00EB767C"/>
    <w:rsid w:val="00EB772D"/>
    <w:rsid w:val="00EC03E1"/>
    <w:rsid w:val="00EC0855"/>
    <w:rsid w:val="00EC08B5"/>
    <w:rsid w:val="00EC1130"/>
    <w:rsid w:val="00EC1277"/>
    <w:rsid w:val="00EC13EE"/>
    <w:rsid w:val="00EC1958"/>
    <w:rsid w:val="00EC198A"/>
    <w:rsid w:val="00EC27A1"/>
    <w:rsid w:val="00EC3190"/>
    <w:rsid w:val="00EC3346"/>
    <w:rsid w:val="00EC3517"/>
    <w:rsid w:val="00EC3A3C"/>
    <w:rsid w:val="00EC3F7B"/>
    <w:rsid w:val="00EC4D3E"/>
    <w:rsid w:val="00EC5418"/>
    <w:rsid w:val="00EC5F92"/>
    <w:rsid w:val="00EC67EE"/>
    <w:rsid w:val="00EC6AEE"/>
    <w:rsid w:val="00EC71BC"/>
    <w:rsid w:val="00EC733C"/>
    <w:rsid w:val="00EC74C8"/>
    <w:rsid w:val="00EC7578"/>
    <w:rsid w:val="00EC77D6"/>
    <w:rsid w:val="00ED00EC"/>
    <w:rsid w:val="00ED07A2"/>
    <w:rsid w:val="00ED1424"/>
    <w:rsid w:val="00ED161F"/>
    <w:rsid w:val="00ED1D61"/>
    <w:rsid w:val="00ED2042"/>
    <w:rsid w:val="00ED2184"/>
    <w:rsid w:val="00ED23BD"/>
    <w:rsid w:val="00ED28D8"/>
    <w:rsid w:val="00ED2BEB"/>
    <w:rsid w:val="00ED2FA6"/>
    <w:rsid w:val="00ED34B3"/>
    <w:rsid w:val="00ED356F"/>
    <w:rsid w:val="00ED3C97"/>
    <w:rsid w:val="00ED3D39"/>
    <w:rsid w:val="00ED4433"/>
    <w:rsid w:val="00ED452D"/>
    <w:rsid w:val="00ED4D48"/>
    <w:rsid w:val="00ED5869"/>
    <w:rsid w:val="00ED5CB0"/>
    <w:rsid w:val="00ED60FB"/>
    <w:rsid w:val="00ED7B98"/>
    <w:rsid w:val="00EE0507"/>
    <w:rsid w:val="00EE0BEF"/>
    <w:rsid w:val="00EE1F54"/>
    <w:rsid w:val="00EE20AD"/>
    <w:rsid w:val="00EE2706"/>
    <w:rsid w:val="00EE3191"/>
    <w:rsid w:val="00EE363A"/>
    <w:rsid w:val="00EE41AA"/>
    <w:rsid w:val="00EE45CE"/>
    <w:rsid w:val="00EE4834"/>
    <w:rsid w:val="00EE498F"/>
    <w:rsid w:val="00EE546D"/>
    <w:rsid w:val="00EE5E9B"/>
    <w:rsid w:val="00EE66E8"/>
    <w:rsid w:val="00EE6AC0"/>
    <w:rsid w:val="00EE7415"/>
    <w:rsid w:val="00EE7FEA"/>
    <w:rsid w:val="00EF004C"/>
    <w:rsid w:val="00EF16C6"/>
    <w:rsid w:val="00EF1AFC"/>
    <w:rsid w:val="00EF1F62"/>
    <w:rsid w:val="00EF2B6B"/>
    <w:rsid w:val="00EF3033"/>
    <w:rsid w:val="00EF344C"/>
    <w:rsid w:val="00EF3AE3"/>
    <w:rsid w:val="00EF3DA6"/>
    <w:rsid w:val="00EF41F1"/>
    <w:rsid w:val="00EF4B73"/>
    <w:rsid w:val="00EF4F71"/>
    <w:rsid w:val="00EF53DE"/>
    <w:rsid w:val="00EF5653"/>
    <w:rsid w:val="00EF5BAC"/>
    <w:rsid w:val="00EF5E28"/>
    <w:rsid w:val="00EF5E70"/>
    <w:rsid w:val="00EF624E"/>
    <w:rsid w:val="00EF6377"/>
    <w:rsid w:val="00EF6B45"/>
    <w:rsid w:val="00EF6CB7"/>
    <w:rsid w:val="00EF7615"/>
    <w:rsid w:val="00EF76BC"/>
    <w:rsid w:val="00EF78C8"/>
    <w:rsid w:val="00EF7BD0"/>
    <w:rsid w:val="00EF7C63"/>
    <w:rsid w:val="00F00471"/>
    <w:rsid w:val="00F00950"/>
    <w:rsid w:val="00F00AF5"/>
    <w:rsid w:val="00F00DE9"/>
    <w:rsid w:val="00F01007"/>
    <w:rsid w:val="00F0133B"/>
    <w:rsid w:val="00F018FA"/>
    <w:rsid w:val="00F01AA8"/>
    <w:rsid w:val="00F01FBB"/>
    <w:rsid w:val="00F020CF"/>
    <w:rsid w:val="00F02F5E"/>
    <w:rsid w:val="00F03AE1"/>
    <w:rsid w:val="00F03BBE"/>
    <w:rsid w:val="00F0433F"/>
    <w:rsid w:val="00F04695"/>
    <w:rsid w:val="00F046D1"/>
    <w:rsid w:val="00F04DF7"/>
    <w:rsid w:val="00F05549"/>
    <w:rsid w:val="00F058A3"/>
    <w:rsid w:val="00F05CE3"/>
    <w:rsid w:val="00F06243"/>
    <w:rsid w:val="00F06C5C"/>
    <w:rsid w:val="00F06CA4"/>
    <w:rsid w:val="00F103B4"/>
    <w:rsid w:val="00F1061E"/>
    <w:rsid w:val="00F11853"/>
    <w:rsid w:val="00F12EAB"/>
    <w:rsid w:val="00F13897"/>
    <w:rsid w:val="00F13C5D"/>
    <w:rsid w:val="00F13DBE"/>
    <w:rsid w:val="00F13E12"/>
    <w:rsid w:val="00F14325"/>
    <w:rsid w:val="00F14DD1"/>
    <w:rsid w:val="00F1507E"/>
    <w:rsid w:val="00F153DC"/>
    <w:rsid w:val="00F158A5"/>
    <w:rsid w:val="00F167C9"/>
    <w:rsid w:val="00F16CAE"/>
    <w:rsid w:val="00F17D66"/>
    <w:rsid w:val="00F20CFC"/>
    <w:rsid w:val="00F20FF4"/>
    <w:rsid w:val="00F2116D"/>
    <w:rsid w:val="00F22C30"/>
    <w:rsid w:val="00F22D19"/>
    <w:rsid w:val="00F22DCC"/>
    <w:rsid w:val="00F237F4"/>
    <w:rsid w:val="00F24152"/>
    <w:rsid w:val="00F2423B"/>
    <w:rsid w:val="00F2467D"/>
    <w:rsid w:val="00F2474C"/>
    <w:rsid w:val="00F24E5B"/>
    <w:rsid w:val="00F250B0"/>
    <w:rsid w:val="00F25BE7"/>
    <w:rsid w:val="00F2638C"/>
    <w:rsid w:val="00F2662B"/>
    <w:rsid w:val="00F26A34"/>
    <w:rsid w:val="00F26A97"/>
    <w:rsid w:val="00F26ED2"/>
    <w:rsid w:val="00F272BE"/>
    <w:rsid w:val="00F27CC5"/>
    <w:rsid w:val="00F27D3E"/>
    <w:rsid w:val="00F27EE7"/>
    <w:rsid w:val="00F3049E"/>
    <w:rsid w:val="00F315CE"/>
    <w:rsid w:val="00F31801"/>
    <w:rsid w:val="00F31BBC"/>
    <w:rsid w:val="00F31F3C"/>
    <w:rsid w:val="00F32496"/>
    <w:rsid w:val="00F32597"/>
    <w:rsid w:val="00F33287"/>
    <w:rsid w:val="00F3352D"/>
    <w:rsid w:val="00F33CC0"/>
    <w:rsid w:val="00F33F6F"/>
    <w:rsid w:val="00F34143"/>
    <w:rsid w:val="00F3418C"/>
    <w:rsid w:val="00F34254"/>
    <w:rsid w:val="00F34D90"/>
    <w:rsid w:val="00F35BE3"/>
    <w:rsid w:val="00F35FF0"/>
    <w:rsid w:val="00F361A6"/>
    <w:rsid w:val="00F361BE"/>
    <w:rsid w:val="00F36F4B"/>
    <w:rsid w:val="00F37825"/>
    <w:rsid w:val="00F37AC3"/>
    <w:rsid w:val="00F37B2E"/>
    <w:rsid w:val="00F37D01"/>
    <w:rsid w:val="00F37E1A"/>
    <w:rsid w:val="00F40B40"/>
    <w:rsid w:val="00F40E17"/>
    <w:rsid w:val="00F40E44"/>
    <w:rsid w:val="00F40EE6"/>
    <w:rsid w:val="00F410BC"/>
    <w:rsid w:val="00F4181D"/>
    <w:rsid w:val="00F42D18"/>
    <w:rsid w:val="00F43245"/>
    <w:rsid w:val="00F4373E"/>
    <w:rsid w:val="00F43C89"/>
    <w:rsid w:val="00F44211"/>
    <w:rsid w:val="00F4424C"/>
    <w:rsid w:val="00F44D8C"/>
    <w:rsid w:val="00F450E9"/>
    <w:rsid w:val="00F45905"/>
    <w:rsid w:val="00F45B41"/>
    <w:rsid w:val="00F45D71"/>
    <w:rsid w:val="00F46164"/>
    <w:rsid w:val="00F462AB"/>
    <w:rsid w:val="00F46996"/>
    <w:rsid w:val="00F46C77"/>
    <w:rsid w:val="00F46D41"/>
    <w:rsid w:val="00F477A4"/>
    <w:rsid w:val="00F513C9"/>
    <w:rsid w:val="00F514E3"/>
    <w:rsid w:val="00F517EA"/>
    <w:rsid w:val="00F5202B"/>
    <w:rsid w:val="00F521E4"/>
    <w:rsid w:val="00F52388"/>
    <w:rsid w:val="00F524BC"/>
    <w:rsid w:val="00F53050"/>
    <w:rsid w:val="00F5352C"/>
    <w:rsid w:val="00F538F1"/>
    <w:rsid w:val="00F53FA5"/>
    <w:rsid w:val="00F54979"/>
    <w:rsid w:val="00F55A24"/>
    <w:rsid w:val="00F55DB8"/>
    <w:rsid w:val="00F57515"/>
    <w:rsid w:val="00F5764A"/>
    <w:rsid w:val="00F5798D"/>
    <w:rsid w:val="00F6017D"/>
    <w:rsid w:val="00F605CD"/>
    <w:rsid w:val="00F607C0"/>
    <w:rsid w:val="00F608CA"/>
    <w:rsid w:val="00F6246C"/>
    <w:rsid w:val="00F6279D"/>
    <w:rsid w:val="00F62BDA"/>
    <w:rsid w:val="00F62DEF"/>
    <w:rsid w:val="00F630C5"/>
    <w:rsid w:val="00F6432E"/>
    <w:rsid w:val="00F644D5"/>
    <w:rsid w:val="00F64721"/>
    <w:rsid w:val="00F6528A"/>
    <w:rsid w:val="00F65464"/>
    <w:rsid w:val="00F66630"/>
    <w:rsid w:val="00F66733"/>
    <w:rsid w:val="00F66F9C"/>
    <w:rsid w:val="00F67049"/>
    <w:rsid w:val="00F67851"/>
    <w:rsid w:val="00F67D55"/>
    <w:rsid w:val="00F67E4A"/>
    <w:rsid w:val="00F705EB"/>
    <w:rsid w:val="00F7072A"/>
    <w:rsid w:val="00F716A5"/>
    <w:rsid w:val="00F716E3"/>
    <w:rsid w:val="00F719D0"/>
    <w:rsid w:val="00F71FFA"/>
    <w:rsid w:val="00F722F1"/>
    <w:rsid w:val="00F728E5"/>
    <w:rsid w:val="00F73531"/>
    <w:rsid w:val="00F736C4"/>
    <w:rsid w:val="00F73895"/>
    <w:rsid w:val="00F74ECB"/>
    <w:rsid w:val="00F75A1D"/>
    <w:rsid w:val="00F773EC"/>
    <w:rsid w:val="00F77773"/>
    <w:rsid w:val="00F80D8B"/>
    <w:rsid w:val="00F818A3"/>
    <w:rsid w:val="00F818B0"/>
    <w:rsid w:val="00F81AA9"/>
    <w:rsid w:val="00F81B5B"/>
    <w:rsid w:val="00F825A6"/>
    <w:rsid w:val="00F825CD"/>
    <w:rsid w:val="00F82771"/>
    <w:rsid w:val="00F83218"/>
    <w:rsid w:val="00F832D8"/>
    <w:rsid w:val="00F8404F"/>
    <w:rsid w:val="00F855D5"/>
    <w:rsid w:val="00F85901"/>
    <w:rsid w:val="00F85924"/>
    <w:rsid w:val="00F85A88"/>
    <w:rsid w:val="00F85E67"/>
    <w:rsid w:val="00F85F08"/>
    <w:rsid w:val="00F85FB0"/>
    <w:rsid w:val="00F865DB"/>
    <w:rsid w:val="00F8750F"/>
    <w:rsid w:val="00F87CD1"/>
    <w:rsid w:val="00F90057"/>
    <w:rsid w:val="00F90229"/>
    <w:rsid w:val="00F90329"/>
    <w:rsid w:val="00F90AF2"/>
    <w:rsid w:val="00F90F11"/>
    <w:rsid w:val="00F91006"/>
    <w:rsid w:val="00F917B6"/>
    <w:rsid w:val="00F91C9F"/>
    <w:rsid w:val="00F91D31"/>
    <w:rsid w:val="00F91D43"/>
    <w:rsid w:val="00F9225F"/>
    <w:rsid w:val="00F92714"/>
    <w:rsid w:val="00F9280B"/>
    <w:rsid w:val="00F92C31"/>
    <w:rsid w:val="00F9314B"/>
    <w:rsid w:val="00F9360F"/>
    <w:rsid w:val="00F9382B"/>
    <w:rsid w:val="00F93C26"/>
    <w:rsid w:val="00F94634"/>
    <w:rsid w:val="00F94E02"/>
    <w:rsid w:val="00F951F4"/>
    <w:rsid w:val="00F9534C"/>
    <w:rsid w:val="00F954AA"/>
    <w:rsid w:val="00F95984"/>
    <w:rsid w:val="00F95B63"/>
    <w:rsid w:val="00F95C49"/>
    <w:rsid w:val="00F95E33"/>
    <w:rsid w:val="00F9697E"/>
    <w:rsid w:val="00F96B8B"/>
    <w:rsid w:val="00F96BA7"/>
    <w:rsid w:val="00F96D42"/>
    <w:rsid w:val="00F96DA7"/>
    <w:rsid w:val="00F9756B"/>
    <w:rsid w:val="00F97882"/>
    <w:rsid w:val="00F97952"/>
    <w:rsid w:val="00F97A8E"/>
    <w:rsid w:val="00FA049F"/>
    <w:rsid w:val="00FA07DE"/>
    <w:rsid w:val="00FA0B8C"/>
    <w:rsid w:val="00FA126A"/>
    <w:rsid w:val="00FA1735"/>
    <w:rsid w:val="00FA2478"/>
    <w:rsid w:val="00FA24C9"/>
    <w:rsid w:val="00FA273F"/>
    <w:rsid w:val="00FA2C84"/>
    <w:rsid w:val="00FA2E0A"/>
    <w:rsid w:val="00FA2E8D"/>
    <w:rsid w:val="00FA2FD1"/>
    <w:rsid w:val="00FA3260"/>
    <w:rsid w:val="00FA3443"/>
    <w:rsid w:val="00FA3530"/>
    <w:rsid w:val="00FA443A"/>
    <w:rsid w:val="00FA4F65"/>
    <w:rsid w:val="00FA53C9"/>
    <w:rsid w:val="00FA54CC"/>
    <w:rsid w:val="00FA57EC"/>
    <w:rsid w:val="00FA6D0B"/>
    <w:rsid w:val="00FA7839"/>
    <w:rsid w:val="00FA7D26"/>
    <w:rsid w:val="00FA7F5E"/>
    <w:rsid w:val="00FB0741"/>
    <w:rsid w:val="00FB1C4C"/>
    <w:rsid w:val="00FB1C93"/>
    <w:rsid w:val="00FB1DF2"/>
    <w:rsid w:val="00FB23B0"/>
    <w:rsid w:val="00FB2663"/>
    <w:rsid w:val="00FB3112"/>
    <w:rsid w:val="00FB315D"/>
    <w:rsid w:val="00FB34DB"/>
    <w:rsid w:val="00FB38BA"/>
    <w:rsid w:val="00FB39AD"/>
    <w:rsid w:val="00FB3A15"/>
    <w:rsid w:val="00FB3EBC"/>
    <w:rsid w:val="00FB4AE6"/>
    <w:rsid w:val="00FB4DA6"/>
    <w:rsid w:val="00FB52C9"/>
    <w:rsid w:val="00FB5455"/>
    <w:rsid w:val="00FB56AD"/>
    <w:rsid w:val="00FB59D5"/>
    <w:rsid w:val="00FB5B01"/>
    <w:rsid w:val="00FB5E3C"/>
    <w:rsid w:val="00FB614A"/>
    <w:rsid w:val="00FB62A8"/>
    <w:rsid w:val="00FB65CF"/>
    <w:rsid w:val="00FB6605"/>
    <w:rsid w:val="00FB66B7"/>
    <w:rsid w:val="00FB68F0"/>
    <w:rsid w:val="00FB6B95"/>
    <w:rsid w:val="00FC0723"/>
    <w:rsid w:val="00FC083E"/>
    <w:rsid w:val="00FC08F4"/>
    <w:rsid w:val="00FC16F0"/>
    <w:rsid w:val="00FC1C89"/>
    <w:rsid w:val="00FC1E83"/>
    <w:rsid w:val="00FC1EA3"/>
    <w:rsid w:val="00FC256C"/>
    <w:rsid w:val="00FC282A"/>
    <w:rsid w:val="00FC2B15"/>
    <w:rsid w:val="00FC2D8E"/>
    <w:rsid w:val="00FC330D"/>
    <w:rsid w:val="00FC3897"/>
    <w:rsid w:val="00FC3DFE"/>
    <w:rsid w:val="00FC40EE"/>
    <w:rsid w:val="00FC40FE"/>
    <w:rsid w:val="00FC48F5"/>
    <w:rsid w:val="00FC4E23"/>
    <w:rsid w:val="00FC506E"/>
    <w:rsid w:val="00FC5265"/>
    <w:rsid w:val="00FC52E2"/>
    <w:rsid w:val="00FC5320"/>
    <w:rsid w:val="00FC5C3F"/>
    <w:rsid w:val="00FC6DC0"/>
    <w:rsid w:val="00FC7035"/>
    <w:rsid w:val="00FC777C"/>
    <w:rsid w:val="00FC7790"/>
    <w:rsid w:val="00FD0558"/>
    <w:rsid w:val="00FD0E55"/>
    <w:rsid w:val="00FD1026"/>
    <w:rsid w:val="00FD16BA"/>
    <w:rsid w:val="00FD2451"/>
    <w:rsid w:val="00FD24D3"/>
    <w:rsid w:val="00FD2E68"/>
    <w:rsid w:val="00FD2E9D"/>
    <w:rsid w:val="00FD2F3D"/>
    <w:rsid w:val="00FD3210"/>
    <w:rsid w:val="00FD3950"/>
    <w:rsid w:val="00FD480A"/>
    <w:rsid w:val="00FD49E3"/>
    <w:rsid w:val="00FD4BC3"/>
    <w:rsid w:val="00FD5066"/>
    <w:rsid w:val="00FD51E9"/>
    <w:rsid w:val="00FD5690"/>
    <w:rsid w:val="00FD5C5F"/>
    <w:rsid w:val="00FD5CE0"/>
    <w:rsid w:val="00FD683E"/>
    <w:rsid w:val="00FD6B43"/>
    <w:rsid w:val="00FD6CD3"/>
    <w:rsid w:val="00FD7063"/>
    <w:rsid w:val="00FD745F"/>
    <w:rsid w:val="00FE0574"/>
    <w:rsid w:val="00FE0C96"/>
    <w:rsid w:val="00FE0D76"/>
    <w:rsid w:val="00FE1704"/>
    <w:rsid w:val="00FE1795"/>
    <w:rsid w:val="00FE1A6C"/>
    <w:rsid w:val="00FE253F"/>
    <w:rsid w:val="00FE2738"/>
    <w:rsid w:val="00FE36C6"/>
    <w:rsid w:val="00FE3FAE"/>
    <w:rsid w:val="00FE4453"/>
    <w:rsid w:val="00FE4FFD"/>
    <w:rsid w:val="00FE5806"/>
    <w:rsid w:val="00FE5E43"/>
    <w:rsid w:val="00FE5EB6"/>
    <w:rsid w:val="00FE6417"/>
    <w:rsid w:val="00FE675C"/>
    <w:rsid w:val="00FE6DA1"/>
    <w:rsid w:val="00FE6E67"/>
    <w:rsid w:val="00FE6FE3"/>
    <w:rsid w:val="00FE7660"/>
    <w:rsid w:val="00FF048C"/>
    <w:rsid w:val="00FF0A5B"/>
    <w:rsid w:val="00FF0F42"/>
    <w:rsid w:val="00FF111E"/>
    <w:rsid w:val="00FF25A8"/>
    <w:rsid w:val="00FF29D1"/>
    <w:rsid w:val="00FF2C0F"/>
    <w:rsid w:val="00FF353E"/>
    <w:rsid w:val="00FF35C6"/>
    <w:rsid w:val="00FF3D21"/>
    <w:rsid w:val="00FF3EA9"/>
    <w:rsid w:val="00FF44A6"/>
    <w:rsid w:val="00FF4534"/>
    <w:rsid w:val="00FF4613"/>
    <w:rsid w:val="00FF4AC0"/>
    <w:rsid w:val="00FF4C44"/>
    <w:rsid w:val="00FF59E6"/>
    <w:rsid w:val="00FF5CC9"/>
    <w:rsid w:val="00FF5F43"/>
    <w:rsid w:val="00FF67ED"/>
    <w:rsid w:val="00FF7C81"/>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840A5"/>
  <w15:docId w15:val="{7EAA4341-AB38-4D26-BB94-F12E32D7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60"/>
  </w:style>
  <w:style w:type="paragraph" w:styleId="Heading1">
    <w:name w:val="heading 1"/>
    <w:basedOn w:val="Normal"/>
    <w:next w:val="Normal"/>
    <w:link w:val="Heading1Char"/>
    <w:qFormat/>
    <w:rsid w:val="00FF7EE4"/>
    <w:pPr>
      <w:keepNext/>
      <w:numPr>
        <w:numId w:val="1"/>
      </w:numPr>
      <w:spacing w:before="100" w:beforeAutospacing="1" w:after="120" w:line="240" w:lineRule="auto"/>
      <w:outlineLvl w:val="0"/>
    </w:pPr>
    <w:rPr>
      <w:rFonts w:ascii="Times New Roman Bold" w:eastAsia="Times New Roman" w:hAnsi="Times New Roman Bold" w:cs="Arial"/>
      <w:b/>
      <w:bCs/>
      <w:kern w:val="32"/>
      <w:sz w:val="24"/>
      <w:szCs w:val="32"/>
    </w:rPr>
  </w:style>
  <w:style w:type="paragraph" w:styleId="Heading2">
    <w:name w:val="heading 2"/>
    <w:basedOn w:val="Heading1"/>
    <w:next w:val="Normal"/>
    <w:link w:val="Heading2Char"/>
    <w:qFormat/>
    <w:rsid w:val="00FF7EE4"/>
    <w:pPr>
      <w:keepLines/>
      <w:numPr>
        <w:ilvl w:val="1"/>
      </w:numPr>
      <w:spacing w:after="0"/>
      <w:ind w:left="720"/>
      <w:outlineLvl w:val="1"/>
    </w:pPr>
    <w:rPr>
      <w:b w:val="0"/>
      <w:bCs w:val="0"/>
      <w:iCs/>
      <w:szCs w:val="28"/>
    </w:rPr>
  </w:style>
  <w:style w:type="paragraph" w:styleId="Heading3">
    <w:name w:val="heading 3"/>
    <w:basedOn w:val="Normal"/>
    <w:next w:val="Normal"/>
    <w:link w:val="Heading3Char"/>
    <w:qFormat/>
    <w:rsid w:val="00FF7EE4"/>
    <w:pPr>
      <w:keepNext/>
      <w:keepLines/>
      <w:numPr>
        <w:ilvl w:val="2"/>
        <w:numId w:val="1"/>
      </w:numPr>
      <w:spacing w:before="120" w:after="24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FF7EE4"/>
    <w:pPr>
      <w:keepNext/>
      <w:keepLines/>
      <w:numPr>
        <w:ilvl w:val="3"/>
        <w:numId w:val="1"/>
      </w:numPr>
      <w:spacing w:before="120" w:after="240" w:line="240" w:lineRule="auto"/>
      <w:outlineLvl w:val="3"/>
    </w:pPr>
    <w:rPr>
      <w:rFonts w:ascii="Times New Roman" w:eastAsia="Times New Roman" w:hAnsi="Times New Roman" w:cs="Times New Roman"/>
      <w:b/>
      <w:bCs/>
      <w:i/>
      <w:sz w:val="24"/>
      <w:szCs w:val="28"/>
    </w:rPr>
  </w:style>
  <w:style w:type="paragraph" w:styleId="Heading5">
    <w:name w:val="heading 5"/>
    <w:basedOn w:val="Normal"/>
    <w:next w:val="Normal"/>
    <w:link w:val="Heading5Char"/>
    <w:semiHidden/>
    <w:unhideWhenUsed/>
    <w:qFormat/>
    <w:rsid w:val="00FF7EE4"/>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FF7EE4"/>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semiHidden/>
    <w:unhideWhenUsed/>
    <w:qFormat/>
    <w:rsid w:val="00FF7EE4"/>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semiHidden/>
    <w:unhideWhenUsed/>
    <w:qFormat/>
    <w:rsid w:val="00FF7EE4"/>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F7EE4"/>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y Normal"/>
    <w:link w:val="NoSpacingChar"/>
    <w:uiPriority w:val="1"/>
    <w:qFormat/>
    <w:rsid w:val="000F4826"/>
    <w:pPr>
      <w:spacing w:after="0" w:line="240" w:lineRule="auto"/>
    </w:pPr>
  </w:style>
  <w:style w:type="paragraph" w:styleId="ListParagraph">
    <w:name w:val="List Paragraph"/>
    <w:aliases w:val="Bullets,References,Numbered List Paragraph,List Paragraph (numbered (a)),List Paragraph nowy,Liste 1,Numbered Paragraph,Main numbered paragraph,123 List Paragraph,List_Paragraph,Multilevel para_II,List Paragraph1,Bullet paras,Body,lp1,Ha"/>
    <w:basedOn w:val="Normal"/>
    <w:link w:val="ListParagraphChar"/>
    <w:uiPriority w:val="34"/>
    <w:qFormat/>
    <w:rsid w:val="003D39E3"/>
    <w:pPr>
      <w:ind w:left="720"/>
      <w:contextualSpacing/>
    </w:pPr>
  </w:style>
  <w:style w:type="character" w:customStyle="1" w:styleId="Heading1Char">
    <w:name w:val="Heading 1 Char"/>
    <w:basedOn w:val="DefaultParagraphFont"/>
    <w:link w:val="Heading1"/>
    <w:rsid w:val="00FF7EE4"/>
    <w:rPr>
      <w:rFonts w:ascii="Times New Roman Bold" w:eastAsia="Times New Roman" w:hAnsi="Times New Roman Bold" w:cs="Arial"/>
      <w:b/>
      <w:bCs/>
      <w:kern w:val="32"/>
      <w:sz w:val="24"/>
      <w:szCs w:val="32"/>
    </w:rPr>
  </w:style>
  <w:style w:type="character" w:customStyle="1" w:styleId="Heading2Char">
    <w:name w:val="Heading 2 Char"/>
    <w:basedOn w:val="DefaultParagraphFont"/>
    <w:link w:val="Heading2"/>
    <w:rsid w:val="00FF7EE4"/>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FF7EE4"/>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FF7EE4"/>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semiHidden/>
    <w:rsid w:val="00FF7E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FF7EE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F7E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F7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F7EE4"/>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aliases w:val="My Normal Char"/>
    <w:basedOn w:val="DefaultParagraphFont"/>
    <w:link w:val="NoSpacing"/>
    <w:uiPriority w:val="1"/>
    <w:rsid w:val="00FF7EE4"/>
  </w:style>
  <w:style w:type="paragraph" w:styleId="FootnoteText">
    <w:name w:val="footnote text"/>
    <w:aliases w:val="single space,footnote text,fn,FOOTNOTES,Fodnotetekst Tegn,Footnote,Footnote Text qer,Footnote Text Char Char,f,Footnote Text Char2 Char,Footnote Text Char1 Char Char,Footnote Text Char2 Char Char Char,ALTS FOOTNOTE,ft,Char,ADB,Testo_note,A"/>
    <w:basedOn w:val="Normal"/>
    <w:link w:val="FootnoteTextChar"/>
    <w:uiPriority w:val="99"/>
    <w:unhideWhenUsed/>
    <w:qFormat/>
    <w:rsid w:val="008741D9"/>
    <w:pPr>
      <w:spacing w:after="0" w:line="240" w:lineRule="auto"/>
    </w:pPr>
    <w:rPr>
      <w:rFonts w:ascii="Times New Roman" w:hAnsi="Times New Roman"/>
      <w:sz w:val="20"/>
      <w:szCs w:val="20"/>
    </w:rPr>
  </w:style>
  <w:style w:type="character" w:customStyle="1" w:styleId="FootnoteTextChar">
    <w:name w:val="Footnote Text Char"/>
    <w:aliases w:val="single space Char,footnote text Char,fn Char,FOOTNOTES Char,Fodnotetekst Tegn Char,Footnote Char,Footnote Text qer Char,Footnote Text Char Char Char,f Char,Footnote Text Char2 Char Char,Footnote Text Char1 Char Char Char,ft Char"/>
    <w:basedOn w:val="DefaultParagraphFont"/>
    <w:link w:val="FootnoteText"/>
    <w:uiPriority w:val="99"/>
    <w:qFormat/>
    <w:rsid w:val="008741D9"/>
    <w:rPr>
      <w:rFonts w:ascii="Times New Roman" w:hAnsi="Times New Roman"/>
      <w:sz w:val="20"/>
      <w:szCs w:val="20"/>
    </w:rPr>
  </w:style>
  <w:style w:type="character" w:styleId="Hyperlink">
    <w:name w:val="Hyperlink"/>
    <w:basedOn w:val="DefaultParagraphFont"/>
    <w:uiPriority w:val="99"/>
    <w:unhideWhenUsed/>
    <w:rsid w:val="008741D9"/>
    <w:rPr>
      <w:color w:val="0000FF" w:themeColor="hyperlink"/>
      <w:u w:val="single"/>
    </w:rPr>
  </w:style>
  <w:style w:type="paragraph" w:styleId="Header">
    <w:name w:val="header"/>
    <w:basedOn w:val="Normal"/>
    <w:link w:val="HeaderChar"/>
    <w:uiPriority w:val="99"/>
    <w:unhideWhenUsed/>
    <w:rsid w:val="00A7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96D"/>
  </w:style>
  <w:style w:type="paragraph" w:styleId="Footer">
    <w:name w:val="footer"/>
    <w:basedOn w:val="Normal"/>
    <w:link w:val="FooterChar"/>
    <w:uiPriority w:val="99"/>
    <w:unhideWhenUsed/>
    <w:rsid w:val="00A7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96D"/>
  </w:style>
  <w:style w:type="paragraph" w:styleId="TOCHeading">
    <w:name w:val="TOC Heading"/>
    <w:basedOn w:val="Heading1"/>
    <w:next w:val="Normal"/>
    <w:uiPriority w:val="39"/>
    <w:unhideWhenUsed/>
    <w:qFormat/>
    <w:rsid w:val="00A7596D"/>
    <w:pPr>
      <w:keepLines/>
      <w:numPr>
        <w:numId w:val="0"/>
      </w:numPr>
      <w:spacing w:before="480" w:beforeAutospacing="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A7596D"/>
    <w:pPr>
      <w:spacing w:before="120" w:after="0"/>
      <w:ind w:left="220"/>
    </w:pPr>
    <w:rPr>
      <w:i/>
      <w:iCs/>
      <w:sz w:val="20"/>
      <w:szCs w:val="20"/>
    </w:rPr>
  </w:style>
  <w:style w:type="paragraph" w:styleId="TOC1">
    <w:name w:val="toc 1"/>
    <w:basedOn w:val="Normal"/>
    <w:next w:val="Normal"/>
    <w:autoRedefine/>
    <w:uiPriority w:val="39"/>
    <w:unhideWhenUsed/>
    <w:qFormat/>
    <w:rsid w:val="00A9594C"/>
    <w:pPr>
      <w:tabs>
        <w:tab w:val="right" w:leader="dot" w:pos="12950"/>
      </w:tabs>
      <w:spacing w:after="0" w:line="240" w:lineRule="auto"/>
    </w:pPr>
    <w:rPr>
      <w:b/>
      <w:bCs/>
      <w:sz w:val="20"/>
      <w:szCs w:val="20"/>
    </w:rPr>
  </w:style>
  <w:style w:type="paragraph" w:styleId="TOC3">
    <w:name w:val="toc 3"/>
    <w:basedOn w:val="Normal"/>
    <w:next w:val="Normal"/>
    <w:autoRedefine/>
    <w:uiPriority w:val="39"/>
    <w:unhideWhenUsed/>
    <w:qFormat/>
    <w:rsid w:val="00A7596D"/>
    <w:pPr>
      <w:spacing w:after="0"/>
      <w:ind w:left="440"/>
    </w:pPr>
    <w:rPr>
      <w:sz w:val="20"/>
      <w:szCs w:val="20"/>
    </w:rPr>
  </w:style>
  <w:style w:type="paragraph" w:styleId="BalloonText">
    <w:name w:val="Balloon Text"/>
    <w:basedOn w:val="Normal"/>
    <w:link w:val="BalloonTextChar"/>
    <w:uiPriority w:val="99"/>
    <w:semiHidden/>
    <w:unhideWhenUsed/>
    <w:rsid w:val="00A7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96D"/>
    <w:rPr>
      <w:rFonts w:ascii="Tahoma" w:hAnsi="Tahoma" w:cs="Tahoma"/>
      <w:sz w:val="16"/>
      <w:szCs w:val="16"/>
    </w:rPr>
  </w:style>
  <w:style w:type="character" w:styleId="CommentReference">
    <w:name w:val="annotation reference"/>
    <w:basedOn w:val="DefaultParagraphFont"/>
    <w:uiPriority w:val="99"/>
    <w:unhideWhenUsed/>
    <w:qFormat/>
    <w:rsid w:val="00FA7839"/>
    <w:rPr>
      <w:sz w:val="16"/>
      <w:szCs w:val="16"/>
    </w:rPr>
  </w:style>
  <w:style w:type="paragraph" w:styleId="CommentText">
    <w:name w:val="annotation text"/>
    <w:basedOn w:val="Normal"/>
    <w:link w:val="CommentTextChar"/>
    <w:uiPriority w:val="99"/>
    <w:unhideWhenUsed/>
    <w:qFormat/>
    <w:rsid w:val="00FA7839"/>
    <w:pPr>
      <w:spacing w:line="240" w:lineRule="auto"/>
    </w:pPr>
    <w:rPr>
      <w:sz w:val="20"/>
      <w:szCs w:val="20"/>
    </w:rPr>
  </w:style>
  <w:style w:type="character" w:customStyle="1" w:styleId="CommentTextChar">
    <w:name w:val="Comment Text Char"/>
    <w:basedOn w:val="DefaultParagraphFont"/>
    <w:link w:val="CommentText"/>
    <w:uiPriority w:val="99"/>
    <w:qFormat/>
    <w:rsid w:val="00FA7839"/>
    <w:rPr>
      <w:sz w:val="20"/>
      <w:szCs w:val="20"/>
    </w:rPr>
  </w:style>
  <w:style w:type="paragraph" w:styleId="CommentSubject">
    <w:name w:val="annotation subject"/>
    <w:basedOn w:val="CommentText"/>
    <w:next w:val="CommentText"/>
    <w:link w:val="CommentSubjectChar"/>
    <w:uiPriority w:val="99"/>
    <w:semiHidden/>
    <w:unhideWhenUsed/>
    <w:rsid w:val="00FA7839"/>
    <w:rPr>
      <w:b/>
      <w:bCs/>
    </w:rPr>
  </w:style>
  <w:style w:type="character" w:customStyle="1" w:styleId="CommentSubjectChar">
    <w:name w:val="Comment Subject Char"/>
    <w:basedOn w:val="CommentTextChar"/>
    <w:link w:val="CommentSubject"/>
    <w:uiPriority w:val="99"/>
    <w:semiHidden/>
    <w:rsid w:val="00FA7839"/>
    <w:rPr>
      <w:b/>
      <w:bCs/>
      <w:sz w:val="20"/>
      <w:szCs w:val="20"/>
    </w:rPr>
  </w:style>
  <w:style w:type="table" w:styleId="TableGrid">
    <w:name w:val="Table Grid"/>
    <w:aliases w:val="Table Grid CFAA,Table Garamond,Document Table,TabelEcorys,Table style,Table long document,mtbs"/>
    <w:basedOn w:val="TableNormal"/>
    <w:uiPriority w:val="59"/>
    <w:qFormat/>
    <w:rsid w:val="0056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References Char,Numbered List Paragraph Char,List Paragraph (numbered (a)) Char,List Paragraph nowy Char,Liste 1 Char,Numbered Paragraph Char,Main numbered paragraph Char,123 List Paragraph Char,List_Paragraph Char"/>
    <w:basedOn w:val="DefaultParagraphFont"/>
    <w:link w:val="ListParagraph"/>
    <w:uiPriority w:val="34"/>
    <w:qFormat/>
    <w:rsid w:val="00CB399F"/>
  </w:style>
  <w:style w:type="paragraph" w:customStyle="1" w:styleId="Tableheading">
    <w:name w:val="Table heading"/>
    <w:basedOn w:val="Normal"/>
    <w:qFormat/>
    <w:rsid w:val="00CB399F"/>
    <w:pPr>
      <w:spacing w:before="40" w:after="40" w:line="240" w:lineRule="auto"/>
      <w:jc w:val="center"/>
    </w:pPr>
    <w:rPr>
      <w:rFonts w:ascii="Times New Roman" w:hAnsi="Times New Roman" w:cs="Times New Roman"/>
      <w:b/>
      <w:i/>
      <w:sz w:val="20"/>
      <w:szCs w:val="20"/>
    </w:rPr>
  </w:style>
  <w:style w:type="paragraph" w:customStyle="1" w:styleId="Attachmenttitle">
    <w:name w:val="Attachment title"/>
    <w:basedOn w:val="Normal"/>
    <w:qFormat/>
    <w:rsid w:val="00CB399F"/>
    <w:pPr>
      <w:spacing w:after="240" w:line="240" w:lineRule="auto"/>
    </w:pPr>
    <w:rPr>
      <w:rFonts w:ascii="Times New Roman" w:eastAsia="Times New Roman" w:hAnsi="Times New Roman" w:cs="Times New Roman"/>
      <w:b/>
      <w:spacing w:val="4"/>
      <w:sz w:val="24"/>
      <w:szCs w:val="24"/>
    </w:rPr>
  </w:style>
  <w:style w:type="paragraph" w:customStyle="1" w:styleId="MainParanoChapter">
    <w:name w:val="Main Para no Chapter #"/>
    <w:basedOn w:val="Normal"/>
    <w:rsid w:val="002F4FFB"/>
    <w:pPr>
      <w:numPr>
        <w:numId w:val="2"/>
      </w:numPr>
      <w:spacing w:after="240" w:line="240" w:lineRule="auto"/>
      <w:jc w:val="both"/>
    </w:pPr>
    <w:rPr>
      <w:rFonts w:ascii="Times New Roman" w:eastAsia="Times New Roman" w:hAnsi="Times New Roman" w:cs="Times New Roman"/>
      <w:sz w:val="24"/>
      <w:szCs w:val="24"/>
    </w:rPr>
  </w:style>
  <w:style w:type="paragraph" w:customStyle="1" w:styleId="PDSAnnexHeading">
    <w:name w:val="PDS Annex Heading"/>
    <w:next w:val="Normal"/>
    <w:rsid w:val="001A31D9"/>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DD5AF2"/>
    <w:pPr>
      <w:spacing w:after="0"/>
      <w:ind w:left="660"/>
    </w:pPr>
    <w:rPr>
      <w:sz w:val="20"/>
      <w:szCs w:val="20"/>
    </w:rPr>
  </w:style>
  <w:style w:type="paragraph" w:styleId="TOC5">
    <w:name w:val="toc 5"/>
    <w:basedOn w:val="Normal"/>
    <w:next w:val="Normal"/>
    <w:autoRedefine/>
    <w:uiPriority w:val="39"/>
    <w:unhideWhenUsed/>
    <w:rsid w:val="00DD5AF2"/>
    <w:pPr>
      <w:spacing w:after="0"/>
      <w:ind w:left="880"/>
    </w:pPr>
    <w:rPr>
      <w:sz w:val="20"/>
      <w:szCs w:val="20"/>
    </w:rPr>
  </w:style>
  <w:style w:type="paragraph" w:styleId="TOC6">
    <w:name w:val="toc 6"/>
    <w:basedOn w:val="Normal"/>
    <w:next w:val="Normal"/>
    <w:autoRedefine/>
    <w:uiPriority w:val="39"/>
    <w:unhideWhenUsed/>
    <w:rsid w:val="00DD5AF2"/>
    <w:pPr>
      <w:spacing w:after="0"/>
      <w:ind w:left="1100"/>
    </w:pPr>
    <w:rPr>
      <w:sz w:val="20"/>
      <w:szCs w:val="20"/>
    </w:rPr>
  </w:style>
  <w:style w:type="paragraph" w:styleId="TOC7">
    <w:name w:val="toc 7"/>
    <w:basedOn w:val="Normal"/>
    <w:next w:val="Normal"/>
    <w:autoRedefine/>
    <w:uiPriority w:val="39"/>
    <w:unhideWhenUsed/>
    <w:rsid w:val="00DD5AF2"/>
    <w:pPr>
      <w:spacing w:after="0"/>
      <w:ind w:left="1320"/>
    </w:pPr>
    <w:rPr>
      <w:sz w:val="20"/>
      <w:szCs w:val="20"/>
    </w:rPr>
  </w:style>
  <w:style w:type="paragraph" w:styleId="TOC8">
    <w:name w:val="toc 8"/>
    <w:basedOn w:val="Normal"/>
    <w:next w:val="Normal"/>
    <w:autoRedefine/>
    <w:uiPriority w:val="39"/>
    <w:unhideWhenUsed/>
    <w:rsid w:val="00DD5AF2"/>
    <w:pPr>
      <w:spacing w:after="0"/>
      <w:ind w:left="1540"/>
    </w:pPr>
    <w:rPr>
      <w:sz w:val="20"/>
      <w:szCs w:val="20"/>
    </w:rPr>
  </w:style>
  <w:style w:type="paragraph" w:styleId="TOC9">
    <w:name w:val="toc 9"/>
    <w:basedOn w:val="Normal"/>
    <w:next w:val="Normal"/>
    <w:autoRedefine/>
    <w:uiPriority w:val="39"/>
    <w:unhideWhenUsed/>
    <w:rsid w:val="00DD5AF2"/>
    <w:pPr>
      <w:spacing w:after="0"/>
      <w:ind w:left="1760"/>
    </w:pPr>
    <w:rPr>
      <w:sz w:val="20"/>
      <w:szCs w:val="20"/>
    </w:rPr>
  </w:style>
  <w:style w:type="character" w:styleId="FootnoteReference">
    <w:name w:val="footnote reference"/>
    <w:aliases w:val="ftref,BVI fnr,Footnote Reference Number,fr,Used by Word for Help footnote symbols,16 Point,Superscript 6 Point,Char Char Char Char Car Char,Footnote Reference_LVL6,Footnote Reference_LVL61,Footnote Reference_LVL62,Ref, BVI fnr,SUPERS"/>
    <w:basedOn w:val="DefaultParagraphFont"/>
    <w:link w:val="BVIfnrCarCarCarCarChar"/>
    <w:uiPriority w:val="99"/>
    <w:unhideWhenUsed/>
    <w:qFormat/>
    <w:rsid w:val="00047E9D"/>
    <w:rPr>
      <w:vertAlign w:val="superscript"/>
    </w:rPr>
  </w:style>
  <w:style w:type="paragraph" w:customStyle="1" w:styleId="HEADINGP4RCHAPTER">
    <w:name w:val="HEADING P4R CHAPTER"/>
    <w:basedOn w:val="Normal"/>
    <w:qFormat/>
    <w:rsid w:val="004A08DC"/>
    <w:pPr>
      <w:spacing w:before="240" w:after="240" w:line="240" w:lineRule="auto"/>
      <w:jc w:val="center"/>
      <w:outlineLvl w:val="0"/>
    </w:pPr>
    <w:rPr>
      <w:rFonts w:ascii="Times New Roman" w:hAnsi="Times New Roman" w:cs="Times New Roman"/>
      <w:b/>
      <w:smallCaps/>
      <w:sz w:val="28"/>
      <w:szCs w:val="24"/>
    </w:rPr>
  </w:style>
  <w:style w:type="paragraph" w:customStyle="1" w:styleId="MainParanoChapter-Ch3">
    <w:name w:val="Main Para no Chapter #-Ch 3"/>
    <w:basedOn w:val="Normal"/>
    <w:qFormat/>
    <w:rsid w:val="004A08DC"/>
    <w:pPr>
      <w:numPr>
        <w:numId w:val="3"/>
      </w:numPr>
      <w:spacing w:before="240" w:after="0" w:line="240" w:lineRule="auto"/>
      <w:jc w:val="both"/>
    </w:pPr>
    <w:rPr>
      <w:rFonts w:ascii="Times New Roman" w:eastAsia="Times New Roman" w:hAnsi="Times New Roman" w:cs="Times New Roman"/>
      <w:sz w:val="24"/>
      <w:szCs w:val="24"/>
    </w:rPr>
  </w:style>
  <w:style w:type="paragraph" w:styleId="Revision">
    <w:name w:val="Revision"/>
    <w:hidden/>
    <w:uiPriority w:val="99"/>
    <w:semiHidden/>
    <w:rsid w:val="00844887"/>
    <w:pPr>
      <w:spacing w:after="0" w:line="240" w:lineRule="auto"/>
    </w:pPr>
  </w:style>
  <w:style w:type="table" w:customStyle="1" w:styleId="TableGrid1">
    <w:name w:val="Table Grid1"/>
    <w:basedOn w:val="TableNormal"/>
    <w:next w:val="TableGrid"/>
    <w:uiPriority w:val="39"/>
    <w:rsid w:val="00E8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2C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inh">
    <w:name w:val="Minh"/>
    <w:basedOn w:val="BodyText2"/>
    <w:link w:val="MinhChar"/>
    <w:qFormat/>
    <w:rsid w:val="00DE7127"/>
    <w:pPr>
      <w:numPr>
        <w:numId w:val="4"/>
      </w:numPr>
      <w:spacing w:before="120" w:line="240" w:lineRule="auto"/>
      <w:jc w:val="both"/>
    </w:pPr>
    <w:rPr>
      <w:rFonts w:ascii="Times New Roman" w:eastAsia="Times New Roman" w:hAnsi="Times New Roman" w:cs="Times New Roman"/>
      <w:color w:val="000000"/>
      <w:sz w:val="24"/>
      <w:szCs w:val="24"/>
      <w:lang w:eastAsia="en-GB"/>
    </w:rPr>
  </w:style>
  <w:style w:type="character" w:customStyle="1" w:styleId="MinhChar">
    <w:name w:val="Minh Char"/>
    <w:basedOn w:val="DefaultParagraphFont"/>
    <w:link w:val="Minh"/>
    <w:locked/>
    <w:rsid w:val="00DE7127"/>
    <w:rPr>
      <w:rFonts w:ascii="Times New Roman" w:eastAsia="Times New Roman" w:hAnsi="Times New Roman" w:cs="Times New Roman"/>
      <w:color w:val="000000"/>
      <w:sz w:val="24"/>
      <w:szCs w:val="24"/>
      <w:lang w:eastAsia="en-GB"/>
    </w:rPr>
  </w:style>
  <w:style w:type="paragraph" w:customStyle="1" w:styleId="BVIfnrCarCarCarCarChar">
    <w:name w:val="BVI fnr Car Car Car Car Char"/>
    <w:aliases w:val="BVI fnr Car Car, BVI fnr Car Car Car Car Char,BVI fnr Car"/>
    <w:basedOn w:val="Normal"/>
    <w:link w:val="FootnoteReference"/>
    <w:uiPriority w:val="99"/>
    <w:rsid w:val="00DE7127"/>
    <w:pPr>
      <w:spacing w:after="0" w:line="240" w:lineRule="auto"/>
    </w:pPr>
    <w:rPr>
      <w:vertAlign w:val="superscript"/>
    </w:rPr>
  </w:style>
  <w:style w:type="paragraph" w:styleId="BodyText2">
    <w:name w:val="Body Text 2"/>
    <w:basedOn w:val="Normal"/>
    <w:link w:val="BodyText2Char"/>
    <w:uiPriority w:val="99"/>
    <w:semiHidden/>
    <w:unhideWhenUsed/>
    <w:rsid w:val="00DE7127"/>
    <w:pPr>
      <w:spacing w:after="120" w:line="480" w:lineRule="auto"/>
    </w:pPr>
  </w:style>
  <w:style w:type="character" w:customStyle="1" w:styleId="BodyText2Char">
    <w:name w:val="Body Text 2 Char"/>
    <w:basedOn w:val="DefaultParagraphFont"/>
    <w:link w:val="BodyText2"/>
    <w:uiPriority w:val="99"/>
    <w:semiHidden/>
    <w:rsid w:val="00DE7127"/>
  </w:style>
  <w:style w:type="character" w:customStyle="1" w:styleId="CaptionChar">
    <w:name w:val="Caption Char"/>
    <w:aliases w:val="Table title Char,Figure Head Char,Stacey_Caption Char,Char Char Char Char,Char Char Char1"/>
    <w:link w:val="Caption"/>
    <w:uiPriority w:val="35"/>
    <w:semiHidden/>
    <w:locked/>
    <w:rsid w:val="00163E6D"/>
    <w:rPr>
      <w:rFonts w:ascii="Times New Roman" w:eastAsia="Times New Roman" w:hAnsi="Times New Roman" w:cs="Arial"/>
      <w:b/>
      <w:iCs/>
      <w:sz w:val="20"/>
      <w:szCs w:val="18"/>
    </w:rPr>
  </w:style>
  <w:style w:type="paragraph" w:styleId="Caption">
    <w:name w:val="caption"/>
    <w:aliases w:val="Table title,Figure Head,Stacey_Caption,Char Char Char,Char Char"/>
    <w:basedOn w:val="Normal"/>
    <w:next w:val="Normal"/>
    <w:link w:val="CaptionChar"/>
    <w:uiPriority w:val="35"/>
    <w:semiHidden/>
    <w:unhideWhenUsed/>
    <w:qFormat/>
    <w:rsid w:val="00163E6D"/>
    <w:pPr>
      <w:keepNext/>
      <w:autoSpaceDE w:val="0"/>
      <w:autoSpaceDN w:val="0"/>
      <w:adjustRightInd w:val="0"/>
      <w:spacing w:before="120" w:after="120" w:line="240" w:lineRule="auto"/>
      <w:jc w:val="center"/>
    </w:pPr>
    <w:rPr>
      <w:rFonts w:ascii="Times New Roman" w:eastAsia="Times New Roman" w:hAnsi="Times New Roman" w:cs="Arial"/>
      <w:b/>
      <w:iCs/>
      <w:sz w:val="20"/>
      <w:szCs w:val="18"/>
    </w:rPr>
  </w:style>
  <w:style w:type="paragraph" w:styleId="NormalWeb">
    <w:name w:val="Normal (Web)"/>
    <w:basedOn w:val="Normal"/>
    <w:uiPriority w:val="99"/>
    <w:semiHidden/>
    <w:unhideWhenUsed/>
    <w:rsid w:val="00B83C1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D8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unhideWhenUsed/>
    <w:rsid w:val="00910D4D"/>
    <w:pPr>
      <w:framePr w:w="7920" w:h="1980" w:hRule="exact" w:hSpace="180" w:wrap="auto" w:hAnchor="page" w:xAlign="center" w:yAlign="bottom"/>
      <w:spacing w:before="180" w:after="0" w:line="240" w:lineRule="auto"/>
      <w:ind w:left="2880"/>
      <w:jc w:val="both"/>
    </w:pPr>
    <w:rPr>
      <w:rFonts w:ascii="Georgia" w:eastAsia="Times New Roman" w:hAnsi="Georgia" w:cs="Times New Roman"/>
      <w:sz w:val="20"/>
      <w:szCs w:val="20"/>
      <w:lang w:val="en-GB"/>
    </w:rPr>
  </w:style>
  <w:style w:type="paragraph" w:customStyle="1" w:styleId="N1">
    <w:name w:val="N 1"/>
    <w:basedOn w:val="Normal"/>
    <w:link w:val="N1Char"/>
    <w:rsid w:val="00910D4D"/>
    <w:pPr>
      <w:spacing w:before="180" w:after="60" w:line="240" w:lineRule="auto"/>
      <w:jc w:val="both"/>
    </w:pPr>
    <w:rPr>
      <w:rFonts w:ascii="Georgia" w:eastAsia="Times New Roman" w:hAnsi="Georgia" w:cs="Times New Roman"/>
      <w:sz w:val="24"/>
      <w:szCs w:val="20"/>
      <w:lang w:val="en-GB"/>
    </w:rPr>
  </w:style>
  <w:style w:type="character" w:customStyle="1" w:styleId="N1Char">
    <w:name w:val="N 1 Char"/>
    <w:link w:val="N1"/>
    <w:rsid w:val="00910D4D"/>
    <w:rPr>
      <w:rFonts w:ascii="Georgia" w:eastAsia="Times New Roman" w:hAnsi="Georgia" w:cs="Times New Roman"/>
      <w:sz w:val="24"/>
      <w:szCs w:val="20"/>
      <w:lang w:val="en-GB"/>
    </w:rPr>
  </w:style>
  <w:style w:type="paragraph" w:customStyle="1" w:styleId="01squarebullet">
    <w:name w:val="01 square bullet"/>
    <w:basedOn w:val="Normal"/>
    <w:uiPriority w:val="3"/>
    <w:qFormat/>
    <w:rsid w:val="00B40A4F"/>
    <w:pPr>
      <w:numPr>
        <w:numId w:val="5"/>
      </w:numPr>
      <w:spacing w:before="120" w:after="60" w:line="240" w:lineRule="auto"/>
      <w:ind w:right="142"/>
      <w:jc w:val="both"/>
    </w:pPr>
    <w:rPr>
      <w:rFonts w:ascii="Georgia" w:eastAsia="Times New Roman" w:hAnsi="Georgia" w:cs="Times New Roman"/>
      <w:sz w:val="20"/>
      <w:szCs w:val="20"/>
      <w:lang w:val="en-GB"/>
    </w:rPr>
  </w:style>
  <w:style w:type="paragraph" w:styleId="EndnoteText">
    <w:name w:val="endnote text"/>
    <w:basedOn w:val="Normal"/>
    <w:link w:val="EndnoteTextChar"/>
    <w:uiPriority w:val="99"/>
    <w:semiHidden/>
    <w:unhideWhenUsed/>
    <w:rsid w:val="00F90F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0F11"/>
    <w:rPr>
      <w:sz w:val="20"/>
      <w:szCs w:val="20"/>
    </w:rPr>
  </w:style>
  <w:style w:type="character" w:styleId="EndnoteReference">
    <w:name w:val="endnote reference"/>
    <w:basedOn w:val="DefaultParagraphFont"/>
    <w:uiPriority w:val="99"/>
    <w:semiHidden/>
    <w:unhideWhenUsed/>
    <w:rsid w:val="00F90F11"/>
    <w:rPr>
      <w:vertAlign w:val="superscript"/>
    </w:rPr>
  </w:style>
  <w:style w:type="paragraph" w:customStyle="1" w:styleId="Char2">
    <w:name w:val="Char2"/>
    <w:basedOn w:val="Normal"/>
    <w:uiPriority w:val="99"/>
    <w:rsid w:val="00E925BC"/>
    <w:pPr>
      <w:spacing w:after="160" w:line="240" w:lineRule="exact"/>
      <w:jc w:val="both"/>
    </w:pPr>
    <w:rPr>
      <w:vertAlign w:val="superscript"/>
    </w:rPr>
  </w:style>
  <w:style w:type="character" w:customStyle="1" w:styleId="UnresolvedMention1">
    <w:name w:val="Unresolved Mention1"/>
    <w:basedOn w:val="DefaultParagraphFont"/>
    <w:uiPriority w:val="99"/>
    <w:semiHidden/>
    <w:unhideWhenUsed/>
    <w:rsid w:val="0005707D"/>
    <w:rPr>
      <w:color w:val="808080"/>
      <w:shd w:val="clear" w:color="auto" w:fill="E6E6E6"/>
    </w:rPr>
  </w:style>
  <w:style w:type="character" w:customStyle="1" w:styleId="hidden-xs">
    <w:name w:val="hidden-xs"/>
    <w:basedOn w:val="DefaultParagraphFont"/>
    <w:rsid w:val="0080629B"/>
  </w:style>
  <w:style w:type="character" w:styleId="FollowedHyperlink">
    <w:name w:val="FollowedHyperlink"/>
    <w:basedOn w:val="DefaultParagraphFont"/>
    <w:uiPriority w:val="99"/>
    <w:semiHidden/>
    <w:unhideWhenUsed/>
    <w:rsid w:val="00542206"/>
    <w:rPr>
      <w:color w:val="800080" w:themeColor="followedHyperlink"/>
      <w:u w:val="single"/>
    </w:rPr>
  </w:style>
  <w:style w:type="table" w:customStyle="1" w:styleId="TableGrid21">
    <w:name w:val="Table Grid21"/>
    <w:basedOn w:val="TableNormal"/>
    <w:next w:val="TableGrid"/>
    <w:uiPriority w:val="39"/>
    <w:rsid w:val="00024C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36CE7"/>
    <w:pPr>
      <w:spacing w:after="120"/>
    </w:pPr>
  </w:style>
  <w:style w:type="character" w:customStyle="1" w:styleId="BodyTextChar">
    <w:name w:val="Body Text Char"/>
    <w:basedOn w:val="DefaultParagraphFont"/>
    <w:link w:val="BodyText"/>
    <w:uiPriority w:val="99"/>
    <w:rsid w:val="00336CE7"/>
  </w:style>
  <w:style w:type="character" w:styleId="UnresolvedMention">
    <w:name w:val="Unresolved Mention"/>
    <w:basedOn w:val="DefaultParagraphFont"/>
    <w:uiPriority w:val="99"/>
    <w:semiHidden/>
    <w:unhideWhenUsed/>
    <w:rsid w:val="002939D3"/>
    <w:rPr>
      <w:color w:val="605E5C"/>
      <w:shd w:val="clear" w:color="auto" w:fill="E1DFDD"/>
    </w:rPr>
  </w:style>
  <w:style w:type="table" w:customStyle="1" w:styleId="TableGridCFAA2">
    <w:name w:val="Table Grid CFAA2"/>
    <w:basedOn w:val="TableNormal"/>
    <w:next w:val="TableGrid"/>
    <w:uiPriority w:val="39"/>
    <w:rsid w:val="00304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1">
    <w:name w:val="Table Grid CFAA1"/>
    <w:basedOn w:val="TableNormal"/>
    <w:next w:val="TableGrid"/>
    <w:uiPriority w:val="39"/>
    <w:rsid w:val="00484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12A91"/>
    <w:pPr>
      <w:spacing w:after="0" w:line="240" w:lineRule="auto"/>
    </w:pPr>
    <w:rPr>
      <w:rFonts w:ascii="Calibri" w:hAnsi="Calibri" w:cs="Calibri"/>
      <w:sz w:val="30"/>
      <w:szCs w:val="30"/>
    </w:rPr>
  </w:style>
  <w:style w:type="character" w:customStyle="1" w:styleId="PlainTextChar">
    <w:name w:val="Plain Text Char"/>
    <w:basedOn w:val="DefaultParagraphFont"/>
    <w:link w:val="PlainText"/>
    <w:uiPriority w:val="99"/>
    <w:rsid w:val="00712A91"/>
    <w:rPr>
      <w:rFonts w:ascii="Calibri" w:hAnsi="Calibri" w:cs="Calibri"/>
      <w:sz w:val="30"/>
      <w:szCs w:val="30"/>
    </w:rPr>
  </w:style>
  <w:style w:type="table" w:customStyle="1" w:styleId="TableGrid4">
    <w:name w:val="Table Grid4"/>
    <w:basedOn w:val="TableNormal"/>
    <w:next w:val="TableGrid"/>
    <w:uiPriority w:val="39"/>
    <w:rsid w:val="00975495"/>
    <w:pPr>
      <w:spacing w:after="0" w:line="240" w:lineRule="auto"/>
    </w:pPr>
    <w:rPr>
      <w:rFonts w:ascii="Garamond" w:eastAsia="MS Mincho" w:hAnsi="Garamond" w:cs="Times New Roman"/>
      <w:color w:val="4C483D"/>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91">
      <w:bodyDiv w:val="1"/>
      <w:marLeft w:val="0"/>
      <w:marRight w:val="0"/>
      <w:marTop w:val="0"/>
      <w:marBottom w:val="0"/>
      <w:divBdr>
        <w:top w:val="none" w:sz="0" w:space="0" w:color="auto"/>
        <w:left w:val="none" w:sz="0" w:space="0" w:color="auto"/>
        <w:bottom w:val="none" w:sz="0" w:space="0" w:color="auto"/>
        <w:right w:val="none" w:sz="0" w:space="0" w:color="auto"/>
      </w:divBdr>
    </w:div>
    <w:div w:id="36438627">
      <w:bodyDiv w:val="1"/>
      <w:marLeft w:val="0"/>
      <w:marRight w:val="0"/>
      <w:marTop w:val="0"/>
      <w:marBottom w:val="0"/>
      <w:divBdr>
        <w:top w:val="none" w:sz="0" w:space="0" w:color="auto"/>
        <w:left w:val="none" w:sz="0" w:space="0" w:color="auto"/>
        <w:bottom w:val="none" w:sz="0" w:space="0" w:color="auto"/>
        <w:right w:val="none" w:sz="0" w:space="0" w:color="auto"/>
      </w:divBdr>
    </w:div>
    <w:div w:id="67114997">
      <w:bodyDiv w:val="1"/>
      <w:marLeft w:val="0"/>
      <w:marRight w:val="0"/>
      <w:marTop w:val="0"/>
      <w:marBottom w:val="0"/>
      <w:divBdr>
        <w:top w:val="none" w:sz="0" w:space="0" w:color="auto"/>
        <w:left w:val="none" w:sz="0" w:space="0" w:color="auto"/>
        <w:bottom w:val="none" w:sz="0" w:space="0" w:color="auto"/>
        <w:right w:val="none" w:sz="0" w:space="0" w:color="auto"/>
      </w:divBdr>
    </w:div>
    <w:div w:id="71512633">
      <w:bodyDiv w:val="1"/>
      <w:marLeft w:val="0"/>
      <w:marRight w:val="0"/>
      <w:marTop w:val="0"/>
      <w:marBottom w:val="0"/>
      <w:divBdr>
        <w:top w:val="none" w:sz="0" w:space="0" w:color="auto"/>
        <w:left w:val="none" w:sz="0" w:space="0" w:color="auto"/>
        <w:bottom w:val="none" w:sz="0" w:space="0" w:color="auto"/>
        <w:right w:val="none" w:sz="0" w:space="0" w:color="auto"/>
      </w:divBdr>
      <w:divsChild>
        <w:div w:id="239146686">
          <w:marLeft w:val="1166"/>
          <w:marRight w:val="0"/>
          <w:marTop w:val="72"/>
          <w:marBottom w:val="0"/>
          <w:divBdr>
            <w:top w:val="none" w:sz="0" w:space="0" w:color="auto"/>
            <w:left w:val="none" w:sz="0" w:space="0" w:color="auto"/>
            <w:bottom w:val="none" w:sz="0" w:space="0" w:color="auto"/>
            <w:right w:val="none" w:sz="0" w:space="0" w:color="auto"/>
          </w:divBdr>
        </w:div>
        <w:div w:id="337778206">
          <w:marLeft w:val="1166"/>
          <w:marRight w:val="0"/>
          <w:marTop w:val="72"/>
          <w:marBottom w:val="0"/>
          <w:divBdr>
            <w:top w:val="none" w:sz="0" w:space="0" w:color="auto"/>
            <w:left w:val="none" w:sz="0" w:space="0" w:color="auto"/>
            <w:bottom w:val="none" w:sz="0" w:space="0" w:color="auto"/>
            <w:right w:val="none" w:sz="0" w:space="0" w:color="auto"/>
          </w:divBdr>
        </w:div>
        <w:div w:id="390269773">
          <w:marLeft w:val="1166"/>
          <w:marRight w:val="0"/>
          <w:marTop w:val="72"/>
          <w:marBottom w:val="0"/>
          <w:divBdr>
            <w:top w:val="none" w:sz="0" w:space="0" w:color="auto"/>
            <w:left w:val="none" w:sz="0" w:space="0" w:color="auto"/>
            <w:bottom w:val="none" w:sz="0" w:space="0" w:color="auto"/>
            <w:right w:val="none" w:sz="0" w:space="0" w:color="auto"/>
          </w:divBdr>
        </w:div>
        <w:div w:id="970139009">
          <w:marLeft w:val="547"/>
          <w:marRight w:val="0"/>
          <w:marTop w:val="86"/>
          <w:marBottom w:val="0"/>
          <w:divBdr>
            <w:top w:val="none" w:sz="0" w:space="0" w:color="auto"/>
            <w:left w:val="none" w:sz="0" w:space="0" w:color="auto"/>
            <w:bottom w:val="none" w:sz="0" w:space="0" w:color="auto"/>
            <w:right w:val="none" w:sz="0" w:space="0" w:color="auto"/>
          </w:divBdr>
        </w:div>
        <w:div w:id="1386955485">
          <w:marLeft w:val="547"/>
          <w:marRight w:val="0"/>
          <w:marTop w:val="86"/>
          <w:marBottom w:val="0"/>
          <w:divBdr>
            <w:top w:val="none" w:sz="0" w:space="0" w:color="auto"/>
            <w:left w:val="none" w:sz="0" w:space="0" w:color="auto"/>
            <w:bottom w:val="none" w:sz="0" w:space="0" w:color="auto"/>
            <w:right w:val="none" w:sz="0" w:space="0" w:color="auto"/>
          </w:divBdr>
        </w:div>
        <w:div w:id="1683430352">
          <w:marLeft w:val="547"/>
          <w:marRight w:val="0"/>
          <w:marTop w:val="86"/>
          <w:marBottom w:val="0"/>
          <w:divBdr>
            <w:top w:val="none" w:sz="0" w:space="0" w:color="auto"/>
            <w:left w:val="none" w:sz="0" w:space="0" w:color="auto"/>
            <w:bottom w:val="none" w:sz="0" w:space="0" w:color="auto"/>
            <w:right w:val="none" w:sz="0" w:space="0" w:color="auto"/>
          </w:divBdr>
        </w:div>
        <w:div w:id="1799764014">
          <w:marLeft w:val="1166"/>
          <w:marRight w:val="0"/>
          <w:marTop w:val="72"/>
          <w:marBottom w:val="0"/>
          <w:divBdr>
            <w:top w:val="none" w:sz="0" w:space="0" w:color="auto"/>
            <w:left w:val="none" w:sz="0" w:space="0" w:color="auto"/>
            <w:bottom w:val="none" w:sz="0" w:space="0" w:color="auto"/>
            <w:right w:val="none" w:sz="0" w:space="0" w:color="auto"/>
          </w:divBdr>
        </w:div>
      </w:divsChild>
    </w:div>
    <w:div w:id="82453029">
      <w:bodyDiv w:val="1"/>
      <w:marLeft w:val="0"/>
      <w:marRight w:val="0"/>
      <w:marTop w:val="0"/>
      <w:marBottom w:val="0"/>
      <w:divBdr>
        <w:top w:val="none" w:sz="0" w:space="0" w:color="auto"/>
        <w:left w:val="none" w:sz="0" w:space="0" w:color="auto"/>
        <w:bottom w:val="none" w:sz="0" w:space="0" w:color="auto"/>
        <w:right w:val="none" w:sz="0" w:space="0" w:color="auto"/>
      </w:divBdr>
    </w:div>
    <w:div w:id="118576735">
      <w:bodyDiv w:val="1"/>
      <w:marLeft w:val="0"/>
      <w:marRight w:val="0"/>
      <w:marTop w:val="0"/>
      <w:marBottom w:val="0"/>
      <w:divBdr>
        <w:top w:val="none" w:sz="0" w:space="0" w:color="auto"/>
        <w:left w:val="none" w:sz="0" w:space="0" w:color="auto"/>
        <w:bottom w:val="none" w:sz="0" w:space="0" w:color="auto"/>
        <w:right w:val="none" w:sz="0" w:space="0" w:color="auto"/>
      </w:divBdr>
      <w:divsChild>
        <w:div w:id="9992717">
          <w:marLeft w:val="1166"/>
          <w:marRight w:val="0"/>
          <w:marTop w:val="0"/>
          <w:marBottom w:val="0"/>
          <w:divBdr>
            <w:top w:val="none" w:sz="0" w:space="0" w:color="auto"/>
            <w:left w:val="none" w:sz="0" w:space="0" w:color="auto"/>
            <w:bottom w:val="none" w:sz="0" w:space="0" w:color="auto"/>
            <w:right w:val="none" w:sz="0" w:space="0" w:color="auto"/>
          </w:divBdr>
        </w:div>
        <w:div w:id="1046180715">
          <w:marLeft w:val="1166"/>
          <w:marRight w:val="0"/>
          <w:marTop w:val="0"/>
          <w:marBottom w:val="0"/>
          <w:divBdr>
            <w:top w:val="none" w:sz="0" w:space="0" w:color="auto"/>
            <w:left w:val="none" w:sz="0" w:space="0" w:color="auto"/>
            <w:bottom w:val="none" w:sz="0" w:space="0" w:color="auto"/>
            <w:right w:val="none" w:sz="0" w:space="0" w:color="auto"/>
          </w:divBdr>
        </w:div>
        <w:div w:id="1273320728">
          <w:marLeft w:val="1166"/>
          <w:marRight w:val="0"/>
          <w:marTop w:val="0"/>
          <w:marBottom w:val="0"/>
          <w:divBdr>
            <w:top w:val="none" w:sz="0" w:space="0" w:color="auto"/>
            <w:left w:val="none" w:sz="0" w:space="0" w:color="auto"/>
            <w:bottom w:val="none" w:sz="0" w:space="0" w:color="auto"/>
            <w:right w:val="none" w:sz="0" w:space="0" w:color="auto"/>
          </w:divBdr>
        </w:div>
      </w:divsChild>
    </w:div>
    <w:div w:id="136993092">
      <w:bodyDiv w:val="1"/>
      <w:marLeft w:val="0"/>
      <w:marRight w:val="0"/>
      <w:marTop w:val="0"/>
      <w:marBottom w:val="0"/>
      <w:divBdr>
        <w:top w:val="none" w:sz="0" w:space="0" w:color="auto"/>
        <w:left w:val="none" w:sz="0" w:space="0" w:color="auto"/>
        <w:bottom w:val="none" w:sz="0" w:space="0" w:color="auto"/>
        <w:right w:val="none" w:sz="0" w:space="0" w:color="auto"/>
      </w:divBdr>
    </w:div>
    <w:div w:id="151020304">
      <w:bodyDiv w:val="1"/>
      <w:marLeft w:val="0"/>
      <w:marRight w:val="0"/>
      <w:marTop w:val="0"/>
      <w:marBottom w:val="0"/>
      <w:divBdr>
        <w:top w:val="none" w:sz="0" w:space="0" w:color="auto"/>
        <w:left w:val="none" w:sz="0" w:space="0" w:color="auto"/>
        <w:bottom w:val="none" w:sz="0" w:space="0" w:color="auto"/>
        <w:right w:val="none" w:sz="0" w:space="0" w:color="auto"/>
      </w:divBdr>
    </w:div>
    <w:div w:id="158541697">
      <w:bodyDiv w:val="1"/>
      <w:marLeft w:val="0"/>
      <w:marRight w:val="0"/>
      <w:marTop w:val="0"/>
      <w:marBottom w:val="0"/>
      <w:divBdr>
        <w:top w:val="none" w:sz="0" w:space="0" w:color="auto"/>
        <w:left w:val="none" w:sz="0" w:space="0" w:color="auto"/>
        <w:bottom w:val="none" w:sz="0" w:space="0" w:color="auto"/>
        <w:right w:val="none" w:sz="0" w:space="0" w:color="auto"/>
      </w:divBdr>
    </w:div>
    <w:div w:id="174196369">
      <w:bodyDiv w:val="1"/>
      <w:marLeft w:val="0"/>
      <w:marRight w:val="0"/>
      <w:marTop w:val="0"/>
      <w:marBottom w:val="0"/>
      <w:divBdr>
        <w:top w:val="none" w:sz="0" w:space="0" w:color="auto"/>
        <w:left w:val="none" w:sz="0" w:space="0" w:color="auto"/>
        <w:bottom w:val="none" w:sz="0" w:space="0" w:color="auto"/>
        <w:right w:val="none" w:sz="0" w:space="0" w:color="auto"/>
      </w:divBdr>
      <w:divsChild>
        <w:div w:id="250894210">
          <w:marLeft w:val="547"/>
          <w:marRight w:val="0"/>
          <w:marTop w:val="0"/>
          <w:marBottom w:val="0"/>
          <w:divBdr>
            <w:top w:val="none" w:sz="0" w:space="0" w:color="auto"/>
            <w:left w:val="none" w:sz="0" w:space="0" w:color="auto"/>
            <w:bottom w:val="none" w:sz="0" w:space="0" w:color="auto"/>
            <w:right w:val="none" w:sz="0" w:space="0" w:color="auto"/>
          </w:divBdr>
        </w:div>
        <w:div w:id="624308791">
          <w:marLeft w:val="547"/>
          <w:marRight w:val="0"/>
          <w:marTop w:val="0"/>
          <w:marBottom w:val="0"/>
          <w:divBdr>
            <w:top w:val="none" w:sz="0" w:space="0" w:color="auto"/>
            <w:left w:val="none" w:sz="0" w:space="0" w:color="auto"/>
            <w:bottom w:val="none" w:sz="0" w:space="0" w:color="auto"/>
            <w:right w:val="none" w:sz="0" w:space="0" w:color="auto"/>
          </w:divBdr>
        </w:div>
      </w:divsChild>
    </w:div>
    <w:div w:id="185559151">
      <w:bodyDiv w:val="1"/>
      <w:marLeft w:val="0"/>
      <w:marRight w:val="0"/>
      <w:marTop w:val="0"/>
      <w:marBottom w:val="0"/>
      <w:divBdr>
        <w:top w:val="none" w:sz="0" w:space="0" w:color="auto"/>
        <w:left w:val="none" w:sz="0" w:space="0" w:color="auto"/>
        <w:bottom w:val="none" w:sz="0" w:space="0" w:color="auto"/>
        <w:right w:val="none" w:sz="0" w:space="0" w:color="auto"/>
      </w:divBdr>
    </w:div>
    <w:div w:id="220481032">
      <w:bodyDiv w:val="1"/>
      <w:marLeft w:val="0"/>
      <w:marRight w:val="0"/>
      <w:marTop w:val="0"/>
      <w:marBottom w:val="0"/>
      <w:divBdr>
        <w:top w:val="none" w:sz="0" w:space="0" w:color="auto"/>
        <w:left w:val="none" w:sz="0" w:space="0" w:color="auto"/>
        <w:bottom w:val="none" w:sz="0" w:space="0" w:color="auto"/>
        <w:right w:val="none" w:sz="0" w:space="0" w:color="auto"/>
      </w:divBdr>
    </w:div>
    <w:div w:id="250168561">
      <w:bodyDiv w:val="1"/>
      <w:marLeft w:val="0"/>
      <w:marRight w:val="0"/>
      <w:marTop w:val="0"/>
      <w:marBottom w:val="0"/>
      <w:divBdr>
        <w:top w:val="none" w:sz="0" w:space="0" w:color="auto"/>
        <w:left w:val="none" w:sz="0" w:space="0" w:color="auto"/>
        <w:bottom w:val="none" w:sz="0" w:space="0" w:color="auto"/>
        <w:right w:val="none" w:sz="0" w:space="0" w:color="auto"/>
      </w:divBdr>
      <w:divsChild>
        <w:div w:id="1503935359">
          <w:marLeft w:val="547"/>
          <w:marRight w:val="0"/>
          <w:marTop w:val="0"/>
          <w:marBottom w:val="0"/>
          <w:divBdr>
            <w:top w:val="none" w:sz="0" w:space="0" w:color="auto"/>
            <w:left w:val="none" w:sz="0" w:space="0" w:color="auto"/>
            <w:bottom w:val="none" w:sz="0" w:space="0" w:color="auto"/>
            <w:right w:val="none" w:sz="0" w:space="0" w:color="auto"/>
          </w:divBdr>
        </w:div>
      </w:divsChild>
    </w:div>
    <w:div w:id="254704042">
      <w:bodyDiv w:val="1"/>
      <w:marLeft w:val="0"/>
      <w:marRight w:val="0"/>
      <w:marTop w:val="0"/>
      <w:marBottom w:val="0"/>
      <w:divBdr>
        <w:top w:val="none" w:sz="0" w:space="0" w:color="auto"/>
        <w:left w:val="none" w:sz="0" w:space="0" w:color="auto"/>
        <w:bottom w:val="none" w:sz="0" w:space="0" w:color="auto"/>
        <w:right w:val="none" w:sz="0" w:space="0" w:color="auto"/>
      </w:divBdr>
    </w:div>
    <w:div w:id="291522081">
      <w:bodyDiv w:val="1"/>
      <w:marLeft w:val="0"/>
      <w:marRight w:val="0"/>
      <w:marTop w:val="0"/>
      <w:marBottom w:val="0"/>
      <w:divBdr>
        <w:top w:val="none" w:sz="0" w:space="0" w:color="auto"/>
        <w:left w:val="none" w:sz="0" w:space="0" w:color="auto"/>
        <w:bottom w:val="none" w:sz="0" w:space="0" w:color="auto"/>
        <w:right w:val="none" w:sz="0" w:space="0" w:color="auto"/>
      </w:divBdr>
    </w:div>
    <w:div w:id="308560402">
      <w:bodyDiv w:val="1"/>
      <w:marLeft w:val="0"/>
      <w:marRight w:val="0"/>
      <w:marTop w:val="0"/>
      <w:marBottom w:val="0"/>
      <w:divBdr>
        <w:top w:val="none" w:sz="0" w:space="0" w:color="auto"/>
        <w:left w:val="none" w:sz="0" w:space="0" w:color="auto"/>
        <w:bottom w:val="none" w:sz="0" w:space="0" w:color="auto"/>
        <w:right w:val="none" w:sz="0" w:space="0" w:color="auto"/>
      </w:divBdr>
    </w:div>
    <w:div w:id="323893742">
      <w:bodyDiv w:val="1"/>
      <w:marLeft w:val="0"/>
      <w:marRight w:val="0"/>
      <w:marTop w:val="0"/>
      <w:marBottom w:val="0"/>
      <w:divBdr>
        <w:top w:val="none" w:sz="0" w:space="0" w:color="auto"/>
        <w:left w:val="none" w:sz="0" w:space="0" w:color="auto"/>
        <w:bottom w:val="none" w:sz="0" w:space="0" w:color="auto"/>
        <w:right w:val="none" w:sz="0" w:space="0" w:color="auto"/>
      </w:divBdr>
    </w:div>
    <w:div w:id="347098414">
      <w:bodyDiv w:val="1"/>
      <w:marLeft w:val="0"/>
      <w:marRight w:val="0"/>
      <w:marTop w:val="0"/>
      <w:marBottom w:val="0"/>
      <w:divBdr>
        <w:top w:val="none" w:sz="0" w:space="0" w:color="auto"/>
        <w:left w:val="none" w:sz="0" w:space="0" w:color="auto"/>
        <w:bottom w:val="none" w:sz="0" w:space="0" w:color="auto"/>
        <w:right w:val="none" w:sz="0" w:space="0" w:color="auto"/>
      </w:divBdr>
    </w:div>
    <w:div w:id="362172310">
      <w:bodyDiv w:val="1"/>
      <w:marLeft w:val="0"/>
      <w:marRight w:val="0"/>
      <w:marTop w:val="0"/>
      <w:marBottom w:val="0"/>
      <w:divBdr>
        <w:top w:val="none" w:sz="0" w:space="0" w:color="auto"/>
        <w:left w:val="none" w:sz="0" w:space="0" w:color="auto"/>
        <w:bottom w:val="none" w:sz="0" w:space="0" w:color="auto"/>
        <w:right w:val="none" w:sz="0" w:space="0" w:color="auto"/>
      </w:divBdr>
    </w:div>
    <w:div w:id="410734809">
      <w:bodyDiv w:val="1"/>
      <w:marLeft w:val="0"/>
      <w:marRight w:val="0"/>
      <w:marTop w:val="0"/>
      <w:marBottom w:val="0"/>
      <w:divBdr>
        <w:top w:val="none" w:sz="0" w:space="0" w:color="auto"/>
        <w:left w:val="none" w:sz="0" w:space="0" w:color="auto"/>
        <w:bottom w:val="none" w:sz="0" w:space="0" w:color="auto"/>
        <w:right w:val="none" w:sz="0" w:space="0" w:color="auto"/>
      </w:divBdr>
    </w:div>
    <w:div w:id="419569157">
      <w:bodyDiv w:val="1"/>
      <w:marLeft w:val="0"/>
      <w:marRight w:val="0"/>
      <w:marTop w:val="0"/>
      <w:marBottom w:val="0"/>
      <w:divBdr>
        <w:top w:val="none" w:sz="0" w:space="0" w:color="auto"/>
        <w:left w:val="none" w:sz="0" w:space="0" w:color="auto"/>
        <w:bottom w:val="none" w:sz="0" w:space="0" w:color="auto"/>
        <w:right w:val="none" w:sz="0" w:space="0" w:color="auto"/>
      </w:divBdr>
    </w:div>
    <w:div w:id="493109291">
      <w:bodyDiv w:val="1"/>
      <w:marLeft w:val="0"/>
      <w:marRight w:val="0"/>
      <w:marTop w:val="0"/>
      <w:marBottom w:val="0"/>
      <w:divBdr>
        <w:top w:val="none" w:sz="0" w:space="0" w:color="auto"/>
        <w:left w:val="none" w:sz="0" w:space="0" w:color="auto"/>
        <w:bottom w:val="none" w:sz="0" w:space="0" w:color="auto"/>
        <w:right w:val="none" w:sz="0" w:space="0" w:color="auto"/>
      </w:divBdr>
      <w:divsChild>
        <w:div w:id="1598639192">
          <w:marLeft w:val="274"/>
          <w:marRight w:val="0"/>
          <w:marTop w:val="0"/>
          <w:marBottom w:val="0"/>
          <w:divBdr>
            <w:top w:val="none" w:sz="0" w:space="0" w:color="auto"/>
            <w:left w:val="none" w:sz="0" w:space="0" w:color="auto"/>
            <w:bottom w:val="none" w:sz="0" w:space="0" w:color="auto"/>
            <w:right w:val="none" w:sz="0" w:space="0" w:color="auto"/>
          </w:divBdr>
        </w:div>
        <w:div w:id="1694721245">
          <w:marLeft w:val="274"/>
          <w:marRight w:val="0"/>
          <w:marTop w:val="0"/>
          <w:marBottom w:val="0"/>
          <w:divBdr>
            <w:top w:val="none" w:sz="0" w:space="0" w:color="auto"/>
            <w:left w:val="none" w:sz="0" w:space="0" w:color="auto"/>
            <w:bottom w:val="none" w:sz="0" w:space="0" w:color="auto"/>
            <w:right w:val="none" w:sz="0" w:space="0" w:color="auto"/>
          </w:divBdr>
        </w:div>
      </w:divsChild>
    </w:div>
    <w:div w:id="498422575">
      <w:bodyDiv w:val="1"/>
      <w:marLeft w:val="0"/>
      <w:marRight w:val="0"/>
      <w:marTop w:val="0"/>
      <w:marBottom w:val="0"/>
      <w:divBdr>
        <w:top w:val="none" w:sz="0" w:space="0" w:color="auto"/>
        <w:left w:val="none" w:sz="0" w:space="0" w:color="auto"/>
        <w:bottom w:val="none" w:sz="0" w:space="0" w:color="auto"/>
        <w:right w:val="none" w:sz="0" w:space="0" w:color="auto"/>
      </w:divBdr>
    </w:div>
    <w:div w:id="523442173">
      <w:bodyDiv w:val="1"/>
      <w:marLeft w:val="0"/>
      <w:marRight w:val="0"/>
      <w:marTop w:val="0"/>
      <w:marBottom w:val="0"/>
      <w:divBdr>
        <w:top w:val="none" w:sz="0" w:space="0" w:color="auto"/>
        <w:left w:val="none" w:sz="0" w:space="0" w:color="auto"/>
        <w:bottom w:val="none" w:sz="0" w:space="0" w:color="auto"/>
        <w:right w:val="none" w:sz="0" w:space="0" w:color="auto"/>
      </w:divBdr>
    </w:div>
    <w:div w:id="531067753">
      <w:bodyDiv w:val="1"/>
      <w:marLeft w:val="0"/>
      <w:marRight w:val="0"/>
      <w:marTop w:val="0"/>
      <w:marBottom w:val="0"/>
      <w:divBdr>
        <w:top w:val="none" w:sz="0" w:space="0" w:color="auto"/>
        <w:left w:val="none" w:sz="0" w:space="0" w:color="auto"/>
        <w:bottom w:val="none" w:sz="0" w:space="0" w:color="auto"/>
        <w:right w:val="none" w:sz="0" w:space="0" w:color="auto"/>
      </w:divBdr>
    </w:div>
    <w:div w:id="551621785">
      <w:bodyDiv w:val="1"/>
      <w:marLeft w:val="0"/>
      <w:marRight w:val="0"/>
      <w:marTop w:val="0"/>
      <w:marBottom w:val="0"/>
      <w:divBdr>
        <w:top w:val="none" w:sz="0" w:space="0" w:color="auto"/>
        <w:left w:val="none" w:sz="0" w:space="0" w:color="auto"/>
        <w:bottom w:val="none" w:sz="0" w:space="0" w:color="auto"/>
        <w:right w:val="none" w:sz="0" w:space="0" w:color="auto"/>
      </w:divBdr>
    </w:div>
    <w:div w:id="557282349">
      <w:bodyDiv w:val="1"/>
      <w:marLeft w:val="0"/>
      <w:marRight w:val="0"/>
      <w:marTop w:val="0"/>
      <w:marBottom w:val="0"/>
      <w:divBdr>
        <w:top w:val="none" w:sz="0" w:space="0" w:color="auto"/>
        <w:left w:val="none" w:sz="0" w:space="0" w:color="auto"/>
        <w:bottom w:val="none" w:sz="0" w:space="0" w:color="auto"/>
        <w:right w:val="none" w:sz="0" w:space="0" w:color="auto"/>
      </w:divBdr>
    </w:div>
    <w:div w:id="696320356">
      <w:bodyDiv w:val="1"/>
      <w:marLeft w:val="0"/>
      <w:marRight w:val="0"/>
      <w:marTop w:val="0"/>
      <w:marBottom w:val="0"/>
      <w:divBdr>
        <w:top w:val="none" w:sz="0" w:space="0" w:color="auto"/>
        <w:left w:val="none" w:sz="0" w:space="0" w:color="auto"/>
        <w:bottom w:val="none" w:sz="0" w:space="0" w:color="auto"/>
        <w:right w:val="none" w:sz="0" w:space="0" w:color="auto"/>
      </w:divBdr>
    </w:div>
    <w:div w:id="722024330">
      <w:bodyDiv w:val="1"/>
      <w:marLeft w:val="0"/>
      <w:marRight w:val="0"/>
      <w:marTop w:val="0"/>
      <w:marBottom w:val="0"/>
      <w:divBdr>
        <w:top w:val="none" w:sz="0" w:space="0" w:color="auto"/>
        <w:left w:val="none" w:sz="0" w:space="0" w:color="auto"/>
        <w:bottom w:val="none" w:sz="0" w:space="0" w:color="auto"/>
        <w:right w:val="none" w:sz="0" w:space="0" w:color="auto"/>
      </w:divBdr>
    </w:div>
    <w:div w:id="728727325">
      <w:bodyDiv w:val="1"/>
      <w:marLeft w:val="0"/>
      <w:marRight w:val="0"/>
      <w:marTop w:val="0"/>
      <w:marBottom w:val="0"/>
      <w:divBdr>
        <w:top w:val="none" w:sz="0" w:space="0" w:color="auto"/>
        <w:left w:val="none" w:sz="0" w:space="0" w:color="auto"/>
        <w:bottom w:val="none" w:sz="0" w:space="0" w:color="auto"/>
        <w:right w:val="none" w:sz="0" w:space="0" w:color="auto"/>
      </w:divBdr>
    </w:div>
    <w:div w:id="729579390">
      <w:bodyDiv w:val="1"/>
      <w:marLeft w:val="0"/>
      <w:marRight w:val="0"/>
      <w:marTop w:val="0"/>
      <w:marBottom w:val="0"/>
      <w:divBdr>
        <w:top w:val="none" w:sz="0" w:space="0" w:color="auto"/>
        <w:left w:val="none" w:sz="0" w:space="0" w:color="auto"/>
        <w:bottom w:val="none" w:sz="0" w:space="0" w:color="auto"/>
        <w:right w:val="none" w:sz="0" w:space="0" w:color="auto"/>
      </w:divBdr>
    </w:div>
    <w:div w:id="748425742">
      <w:bodyDiv w:val="1"/>
      <w:marLeft w:val="0"/>
      <w:marRight w:val="0"/>
      <w:marTop w:val="0"/>
      <w:marBottom w:val="0"/>
      <w:divBdr>
        <w:top w:val="none" w:sz="0" w:space="0" w:color="auto"/>
        <w:left w:val="none" w:sz="0" w:space="0" w:color="auto"/>
        <w:bottom w:val="none" w:sz="0" w:space="0" w:color="auto"/>
        <w:right w:val="none" w:sz="0" w:space="0" w:color="auto"/>
      </w:divBdr>
      <w:divsChild>
        <w:div w:id="322197168">
          <w:marLeft w:val="274"/>
          <w:marRight w:val="0"/>
          <w:marTop w:val="0"/>
          <w:marBottom w:val="0"/>
          <w:divBdr>
            <w:top w:val="none" w:sz="0" w:space="0" w:color="auto"/>
            <w:left w:val="none" w:sz="0" w:space="0" w:color="auto"/>
            <w:bottom w:val="none" w:sz="0" w:space="0" w:color="auto"/>
            <w:right w:val="none" w:sz="0" w:space="0" w:color="auto"/>
          </w:divBdr>
        </w:div>
        <w:div w:id="1713115143">
          <w:marLeft w:val="274"/>
          <w:marRight w:val="0"/>
          <w:marTop w:val="0"/>
          <w:marBottom w:val="0"/>
          <w:divBdr>
            <w:top w:val="none" w:sz="0" w:space="0" w:color="auto"/>
            <w:left w:val="none" w:sz="0" w:space="0" w:color="auto"/>
            <w:bottom w:val="none" w:sz="0" w:space="0" w:color="auto"/>
            <w:right w:val="none" w:sz="0" w:space="0" w:color="auto"/>
          </w:divBdr>
        </w:div>
        <w:div w:id="1722552441">
          <w:marLeft w:val="274"/>
          <w:marRight w:val="0"/>
          <w:marTop w:val="0"/>
          <w:marBottom w:val="0"/>
          <w:divBdr>
            <w:top w:val="none" w:sz="0" w:space="0" w:color="auto"/>
            <w:left w:val="none" w:sz="0" w:space="0" w:color="auto"/>
            <w:bottom w:val="none" w:sz="0" w:space="0" w:color="auto"/>
            <w:right w:val="none" w:sz="0" w:space="0" w:color="auto"/>
          </w:divBdr>
        </w:div>
        <w:div w:id="1907373074">
          <w:marLeft w:val="274"/>
          <w:marRight w:val="0"/>
          <w:marTop w:val="0"/>
          <w:marBottom w:val="0"/>
          <w:divBdr>
            <w:top w:val="none" w:sz="0" w:space="0" w:color="auto"/>
            <w:left w:val="none" w:sz="0" w:space="0" w:color="auto"/>
            <w:bottom w:val="none" w:sz="0" w:space="0" w:color="auto"/>
            <w:right w:val="none" w:sz="0" w:space="0" w:color="auto"/>
          </w:divBdr>
        </w:div>
      </w:divsChild>
    </w:div>
    <w:div w:id="815530258">
      <w:bodyDiv w:val="1"/>
      <w:marLeft w:val="0"/>
      <w:marRight w:val="0"/>
      <w:marTop w:val="0"/>
      <w:marBottom w:val="0"/>
      <w:divBdr>
        <w:top w:val="none" w:sz="0" w:space="0" w:color="auto"/>
        <w:left w:val="none" w:sz="0" w:space="0" w:color="auto"/>
        <w:bottom w:val="none" w:sz="0" w:space="0" w:color="auto"/>
        <w:right w:val="none" w:sz="0" w:space="0" w:color="auto"/>
      </w:divBdr>
      <w:divsChild>
        <w:div w:id="976034525">
          <w:marLeft w:val="547"/>
          <w:marRight w:val="86"/>
          <w:marTop w:val="0"/>
          <w:marBottom w:val="120"/>
          <w:divBdr>
            <w:top w:val="none" w:sz="0" w:space="0" w:color="auto"/>
            <w:left w:val="none" w:sz="0" w:space="0" w:color="auto"/>
            <w:bottom w:val="none" w:sz="0" w:space="0" w:color="auto"/>
            <w:right w:val="none" w:sz="0" w:space="0" w:color="auto"/>
          </w:divBdr>
        </w:div>
        <w:div w:id="1894809238">
          <w:marLeft w:val="547"/>
          <w:marRight w:val="86"/>
          <w:marTop w:val="0"/>
          <w:marBottom w:val="120"/>
          <w:divBdr>
            <w:top w:val="none" w:sz="0" w:space="0" w:color="auto"/>
            <w:left w:val="none" w:sz="0" w:space="0" w:color="auto"/>
            <w:bottom w:val="none" w:sz="0" w:space="0" w:color="auto"/>
            <w:right w:val="none" w:sz="0" w:space="0" w:color="auto"/>
          </w:divBdr>
        </w:div>
      </w:divsChild>
    </w:div>
    <w:div w:id="825049062">
      <w:bodyDiv w:val="1"/>
      <w:marLeft w:val="0"/>
      <w:marRight w:val="0"/>
      <w:marTop w:val="0"/>
      <w:marBottom w:val="0"/>
      <w:divBdr>
        <w:top w:val="none" w:sz="0" w:space="0" w:color="auto"/>
        <w:left w:val="none" w:sz="0" w:space="0" w:color="auto"/>
        <w:bottom w:val="none" w:sz="0" w:space="0" w:color="auto"/>
        <w:right w:val="none" w:sz="0" w:space="0" w:color="auto"/>
      </w:divBdr>
    </w:div>
    <w:div w:id="855847669">
      <w:bodyDiv w:val="1"/>
      <w:marLeft w:val="0"/>
      <w:marRight w:val="0"/>
      <w:marTop w:val="0"/>
      <w:marBottom w:val="0"/>
      <w:divBdr>
        <w:top w:val="none" w:sz="0" w:space="0" w:color="auto"/>
        <w:left w:val="none" w:sz="0" w:space="0" w:color="auto"/>
        <w:bottom w:val="none" w:sz="0" w:space="0" w:color="auto"/>
        <w:right w:val="none" w:sz="0" w:space="0" w:color="auto"/>
      </w:divBdr>
    </w:div>
    <w:div w:id="865099481">
      <w:bodyDiv w:val="1"/>
      <w:marLeft w:val="0"/>
      <w:marRight w:val="0"/>
      <w:marTop w:val="0"/>
      <w:marBottom w:val="0"/>
      <w:divBdr>
        <w:top w:val="none" w:sz="0" w:space="0" w:color="auto"/>
        <w:left w:val="none" w:sz="0" w:space="0" w:color="auto"/>
        <w:bottom w:val="none" w:sz="0" w:space="0" w:color="auto"/>
        <w:right w:val="none" w:sz="0" w:space="0" w:color="auto"/>
      </w:divBdr>
      <w:divsChild>
        <w:div w:id="244194350">
          <w:marLeft w:val="274"/>
          <w:marRight w:val="0"/>
          <w:marTop w:val="0"/>
          <w:marBottom w:val="0"/>
          <w:divBdr>
            <w:top w:val="none" w:sz="0" w:space="0" w:color="auto"/>
            <w:left w:val="none" w:sz="0" w:space="0" w:color="auto"/>
            <w:bottom w:val="none" w:sz="0" w:space="0" w:color="auto"/>
            <w:right w:val="none" w:sz="0" w:space="0" w:color="auto"/>
          </w:divBdr>
        </w:div>
        <w:div w:id="1297568925">
          <w:marLeft w:val="274"/>
          <w:marRight w:val="0"/>
          <w:marTop w:val="0"/>
          <w:marBottom w:val="0"/>
          <w:divBdr>
            <w:top w:val="none" w:sz="0" w:space="0" w:color="auto"/>
            <w:left w:val="none" w:sz="0" w:space="0" w:color="auto"/>
            <w:bottom w:val="none" w:sz="0" w:space="0" w:color="auto"/>
            <w:right w:val="none" w:sz="0" w:space="0" w:color="auto"/>
          </w:divBdr>
        </w:div>
      </w:divsChild>
    </w:div>
    <w:div w:id="913392668">
      <w:bodyDiv w:val="1"/>
      <w:marLeft w:val="0"/>
      <w:marRight w:val="0"/>
      <w:marTop w:val="0"/>
      <w:marBottom w:val="0"/>
      <w:divBdr>
        <w:top w:val="none" w:sz="0" w:space="0" w:color="auto"/>
        <w:left w:val="none" w:sz="0" w:space="0" w:color="auto"/>
        <w:bottom w:val="none" w:sz="0" w:space="0" w:color="auto"/>
        <w:right w:val="none" w:sz="0" w:space="0" w:color="auto"/>
      </w:divBdr>
    </w:div>
    <w:div w:id="981619150">
      <w:bodyDiv w:val="1"/>
      <w:marLeft w:val="0"/>
      <w:marRight w:val="0"/>
      <w:marTop w:val="0"/>
      <w:marBottom w:val="0"/>
      <w:divBdr>
        <w:top w:val="none" w:sz="0" w:space="0" w:color="auto"/>
        <w:left w:val="none" w:sz="0" w:space="0" w:color="auto"/>
        <w:bottom w:val="none" w:sz="0" w:space="0" w:color="auto"/>
        <w:right w:val="none" w:sz="0" w:space="0" w:color="auto"/>
      </w:divBdr>
    </w:div>
    <w:div w:id="996107019">
      <w:bodyDiv w:val="1"/>
      <w:marLeft w:val="0"/>
      <w:marRight w:val="0"/>
      <w:marTop w:val="0"/>
      <w:marBottom w:val="0"/>
      <w:divBdr>
        <w:top w:val="none" w:sz="0" w:space="0" w:color="auto"/>
        <w:left w:val="none" w:sz="0" w:space="0" w:color="auto"/>
        <w:bottom w:val="none" w:sz="0" w:space="0" w:color="auto"/>
        <w:right w:val="none" w:sz="0" w:space="0" w:color="auto"/>
      </w:divBdr>
    </w:div>
    <w:div w:id="997920418">
      <w:bodyDiv w:val="1"/>
      <w:marLeft w:val="0"/>
      <w:marRight w:val="0"/>
      <w:marTop w:val="0"/>
      <w:marBottom w:val="0"/>
      <w:divBdr>
        <w:top w:val="none" w:sz="0" w:space="0" w:color="auto"/>
        <w:left w:val="none" w:sz="0" w:space="0" w:color="auto"/>
        <w:bottom w:val="none" w:sz="0" w:space="0" w:color="auto"/>
        <w:right w:val="none" w:sz="0" w:space="0" w:color="auto"/>
      </w:divBdr>
    </w:div>
    <w:div w:id="1002582872">
      <w:bodyDiv w:val="1"/>
      <w:marLeft w:val="0"/>
      <w:marRight w:val="0"/>
      <w:marTop w:val="0"/>
      <w:marBottom w:val="0"/>
      <w:divBdr>
        <w:top w:val="none" w:sz="0" w:space="0" w:color="auto"/>
        <w:left w:val="none" w:sz="0" w:space="0" w:color="auto"/>
        <w:bottom w:val="none" w:sz="0" w:space="0" w:color="auto"/>
        <w:right w:val="none" w:sz="0" w:space="0" w:color="auto"/>
      </w:divBdr>
    </w:div>
    <w:div w:id="1016620671">
      <w:bodyDiv w:val="1"/>
      <w:marLeft w:val="0"/>
      <w:marRight w:val="0"/>
      <w:marTop w:val="0"/>
      <w:marBottom w:val="0"/>
      <w:divBdr>
        <w:top w:val="none" w:sz="0" w:space="0" w:color="auto"/>
        <w:left w:val="none" w:sz="0" w:space="0" w:color="auto"/>
        <w:bottom w:val="none" w:sz="0" w:space="0" w:color="auto"/>
        <w:right w:val="none" w:sz="0" w:space="0" w:color="auto"/>
      </w:divBdr>
      <w:divsChild>
        <w:div w:id="12730664">
          <w:marLeft w:val="274"/>
          <w:marRight w:val="0"/>
          <w:marTop w:val="0"/>
          <w:marBottom w:val="0"/>
          <w:divBdr>
            <w:top w:val="none" w:sz="0" w:space="0" w:color="auto"/>
            <w:left w:val="none" w:sz="0" w:space="0" w:color="auto"/>
            <w:bottom w:val="none" w:sz="0" w:space="0" w:color="auto"/>
            <w:right w:val="none" w:sz="0" w:space="0" w:color="auto"/>
          </w:divBdr>
        </w:div>
        <w:div w:id="817115035">
          <w:marLeft w:val="274"/>
          <w:marRight w:val="0"/>
          <w:marTop w:val="0"/>
          <w:marBottom w:val="0"/>
          <w:divBdr>
            <w:top w:val="none" w:sz="0" w:space="0" w:color="auto"/>
            <w:left w:val="none" w:sz="0" w:space="0" w:color="auto"/>
            <w:bottom w:val="none" w:sz="0" w:space="0" w:color="auto"/>
            <w:right w:val="none" w:sz="0" w:space="0" w:color="auto"/>
          </w:divBdr>
        </w:div>
        <w:div w:id="1042679678">
          <w:marLeft w:val="274"/>
          <w:marRight w:val="0"/>
          <w:marTop w:val="0"/>
          <w:marBottom w:val="0"/>
          <w:divBdr>
            <w:top w:val="none" w:sz="0" w:space="0" w:color="auto"/>
            <w:left w:val="none" w:sz="0" w:space="0" w:color="auto"/>
            <w:bottom w:val="none" w:sz="0" w:space="0" w:color="auto"/>
            <w:right w:val="none" w:sz="0" w:space="0" w:color="auto"/>
          </w:divBdr>
        </w:div>
      </w:divsChild>
    </w:div>
    <w:div w:id="1029455527">
      <w:bodyDiv w:val="1"/>
      <w:marLeft w:val="0"/>
      <w:marRight w:val="0"/>
      <w:marTop w:val="0"/>
      <w:marBottom w:val="0"/>
      <w:divBdr>
        <w:top w:val="none" w:sz="0" w:space="0" w:color="auto"/>
        <w:left w:val="none" w:sz="0" w:space="0" w:color="auto"/>
        <w:bottom w:val="none" w:sz="0" w:space="0" w:color="auto"/>
        <w:right w:val="none" w:sz="0" w:space="0" w:color="auto"/>
      </w:divBdr>
    </w:div>
    <w:div w:id="1049064919">
      <w:bodyDiv w:val="1"/>
      <w:marLeft w:val="0"/>
      <w:marRight w:val="0"/>
      <w:marTop w:val="0"/>
      <w:marBottom w:val="0"/>
      <w:divBdr>
        <w:top w:val="none" w:sz="0" w:space="0" w:color="auto"/>
        <w:left w:val="none" w:sz="0" w:space="0" w:color="auto"/>
        <w:bottom w:val="none" w:sz="0" w:space="0" w:color="auto"/>
        <w:right w:val="none" w:sz="0" w:space="0" w:color="auto"/>
      </w:divBdr>
    </w:div>
    <w:div w:id="1133672579">
      <w:bodyDiv w:val="1"/>
      <w:marLeft w:val="0"/>
      <w:marRight w:val="0"/>
      <w:marTop w:val="0"/>
      <w:marBottom w:val="0"/>
      <w:divBdr>
        <w:top w:val="none" w:sz="0" w:space="0" w:color="auto"/>
        <w:left w:val="none" w:sz="0" w:space="0" w:color="auto"/>
        <w:bottom w:val="none" w:sz="0" w:space="0" w:color="auto"/>
        <w:right w:val="none" w:sz="0" w:space="0" w:color="auto"/>
      </w:divBdr>
    </w:div>
    <w:div w:id="1154906042">
      <w:bodyDiv w:val="1"/>
      <w:marLeft w:val="0"/>
      <w:marRight w:val="0"/>
      <w:marTop w:val="0"/>
      <w:marBottom w:val="0"/>
      <w:divBdr>
        <w:top w:val="none" w:sz="0" w:space="0" w:color="auto"/>
        <w:left w:val="none" w:sz="0" w:space="0" w:color="auto"/>
        <w:bottom w:val="none" w:sz="0" w:space="0" w:color="auto"/>
        <w:right w:val="none" w:sz="0" w:space="0" w:color="auto"/>
      </w:divBdr>
    </w:div>
    <w:div w:id="1155881301">
      <w:bodyDiv w:val="1"/>
      <w:marLeft w:val="0"/>
      <w:marRight w:val="0"/>
      <w:marTop w:val="0"/>
      <w:marBottom w:val="0"/>
      <w:divBdr>
        <w:top w:val="none" w:sz="0" w:space="0" w:color="auto"/>
        <w:left w:val="none" w:sz="0" w:space="0" w:color="auto"/>
        <w:bottom w:val="none" w:sz="0" w:space="0" w:color="auto"/>
        <w:right w:val="none" w:sz="0" w:space="0" w:color="auto"/>
      </w:divBdr>
    </w:div>
    <w:div w:id="1176503771">
      <w:bodyDiv w:val="1"/>
      <w:marLeft w:val="0"/>
      <w:marRight w:val="0"/>
      <w:marTop w:val="0"/>
      <w:marBottom w:val="0"/>
      <w:divBdr>
        <w:top w:val="none" w:sz="0" w:space="0" w:color="auto"/>
        <w:left w:val="none" w:sz="0" w:space="0" w:color="auto"/>
        <w:bottom w:val="none" w:sz="0" w:space="0" w:color="auto"/>
        <w:right w:val="none" w:sz="0" w:space="0" w:color="auto"/>
      </w:divBdr>
    </w:div>
    <w:div w:id="1177421984">
      <w:bodyDiv w:val="1"/>
      <w:marLeft w:val="0"/>
      <w:marRight w:val="0"/>
      <w:marTop w:val="0"/>
      <w:marBottom w:val="0"/>
      <w:divBdr>
        <w:top w:val="none" w:sz="0" w:space="0" w:color="auto"/>
        <w:left w:val="none" w:sz="0" w:space="0" w:color="auto"/>
        <w:bottom w:val="none" w:sz="0" w:space="0" w:color="auto"/>
        <w:right w:val="none" w:sz="0" w:space="0" w:color="auto"/>
      </w:divBdr>
    </w:div>
    <w:div w:id="1210916663">
      <w:bodyDiv w:val="1"/>
      <w:marLeft w:val="0"/>
      <w:marRight w:val="0"/>
      <w:marTop w:val="0"/>
      <w:marBottom w:val="0"/>
      <w:divBdr>
        <w:top w:val="none" w:sz="0" w:space="0" w:color="auto"/>
        <w:left w:val="none" w:sz="0" w:space="0" w:color="auto"/>
        <w:bottom w:val="none" w:sz="0" w:space="0" w:color="auto"/>
        <w:right w:val="none" w:sz="0" w:space="0" w:color="auto"/>
      </w:divBdr>
    </w:div>
    <w:div w:id="1219321231">
      <w:bodyDiv w:val="1"/>
      <w:marLeft w:val="0"/>
      <w:marRight w:val="0"/>
      <w:marTop w:val="0"/>
      <w:marBottom w:val="0"/>
      <w:divBdr>
        <w:top w:val="none" w:sz="0" w:space="0" w:color="auto"/>
        <w:left w:val="none" w:sz="0" w:space="0" w:color="auto"/>
        <w:bottom w:val="none" w:sz="0" w:space="0" w:color="auto"/>
        <w:right w:val="none" w:sz="0" w:space="0" w:color="auto"/>
      </w:divBdr>
    </w:div>
    <w:div w:id="1223827232">
      <w:bodyDiv w:val="1"/>
      <w:marLeft w:val="0"/>
      <w:marRight w:val="0"/>
      <w:marTop w:val="0"/>
      <w:marBottom w:val="0"/>
      <w:divBdr>
        <w:top w:val="none" w:sz="0" w:space="0" w:color="auto"/>
        <w:left w:val="none" w:sz="0" w:space="0" w:color="auto"/>
        <w:bottom w:val="none" w:sz="0" w:space="0" w:color="auto"/>
        <w:right w:val="none" w:sz="0" w:space="0" w:color="auto"/>
      </w:divBdr>
    </w:div>
    <w:div w:id="1282952011">
      <w:bodyDiv w:val="1"/>
      <w:marLeft w:val="0"/>
      <w:marRight w:val="0"/>
      <w:marTop w:val="0"/>
      <w:marBottom w:val="0"/>
      <w:divBdr>
        <w:top w:val="none" w:sz="0" w:space="0" w:color="auto"/>
        <w:left w:val="none" w:sz="0" w:space="0" w:color="auto"/>
        <w:bottom w:val="none" w:sz="0" w:space="0" w:color="auto"/>
        <w:right w:val="none" w:sz="0" w:space="0" w:color="auto"/>
      </w:divBdr>
    </w:div>
    <w:div w:id="1315835789">
      <w:bodyDiv w:val="1"/>
      <w:marLeft w:val="0"/>
      <w:marRight w:val="0"/>
      <w:marTop w:val="0"/>
      <w:marBottom w:val="0"/>
      <w:divBdr>
        <w:top w:val="none" w:sz="0" w:space="0" w:color="auto"/>
        <w:left w:val="none" w:sz="0" w:space="0" w:color="auto"/>
        <w:bottom w:val="none" w:sz="0" w:space="0" w:color="auto"/>
        <w:right w:val="none" w:sz="0" w:space="0" w:color="auto"/>
      </w:divBdr>
    </w:div>
    <w:div w:id="1330789800">
      <w:bodyDiv w:val="1"/>
      <w:marLeft w:val="0"/>
      <w:marRight w:val="0"/>
      <w:marTop w:val="0"/>
      <w:marBottom w:val="0"/>
      <w:divBdr>
        <w:top w:val="none" w:sz="0" w:space="0" w:color="auto"/>
        <w:left w:val="none" w:sz="0" w:space="0" w:color="auto"/>
        <w:bottom w:val="none" w:sz="0" w:space="0" w:color="auto"/>
        <w:right w:val="none" w:sz="0" w:space="0" w:color="auto"/>
      </w:divBdr>
    </w:div>
    <w:div w:id="1332221962">
      <w:bodyDiv w:val="1"/>
      <w:marLeft w:val="0"/>
      <w:marRight w:val="0"/>
      <w:marTop w:val="0"/>
      <w:marBottom w:val="0"/>
      <w:divBdr>
        <w:top w:val="none" w:sz="0" w:space="0" w:color="auto"/>
        <w:left w:val="none" w:sz="0" w:space="0" w:color="auto"/>
        <w:bottom w:val="none" w:sz="0" w:space="0" w:color="auto"/>
        <w:right w:val="none" w:sz="0" w:space="0" w:color="auto"/>
      </w:divBdr>
      <w:divsChild>
        <w:div w:id="1540628544">
          <w:marLeft w:val="1354"/>
          <w:marRight w:val="0"/>
          <w:marTop w:val="0"/>
          <w:marBottom w:val="0"/>
          <w:divBdr>
            <w:top w:val="none" w:sz="0" w:space="0" w:color="auto"/>
            <w:left w:val="none" w:sz="0" w:space="0" w:color="auto"/>
            <w:bottom w:val="none" w:sz="0" w:space="0" w:color="auto"/>
            <w:right w:val="none" w:sz="0" w:space="0" w:color="auto"/>
          </w:divBdr>
        </w:div>
      </w:divsChild>
    </w:div>
    <w:div w:id="1392463820">
      <w:bodyDiv w:val="1"/>
      <w:marLeft w:val="0"/>
      <w:marRight w:val="0"/>
      <w:marTop w:val="0"/>
      <w:marBottom w:val="0"/>
      <w:divBdr>
        <w:top w:val="none" w:sz="0" w:space="0" w:color="auto"/>
        <w:left w:val="none" w:sz="0" w:space="0" w:color="auto"/>
        <w:bottom w:val="none" w:sz="0" w:space="0" w:color="auto"/>
        <w:right w:val="none" w:sz="0" w:space="0" w:color="auto"/>
      </w:divBdr>
    </w:div>
    <w:div w:id="1432310760">
      <w:bodyDiv w:val="1"/>
      <w:marLeft w:val="0"/>
      <w:marRight w:val="0"/>
      <w:marTop w:val="0"/>
      <w:marBottom w:val="0"/>
      <w:divBdr>
        <w:top w:val="none" w:sz="0" w:space="0" w:color="auto"/>
        <w:left w:val="none" w:sz="0" w:space="0" w:color="auto"/>
        <w:bottom w:val="none" w:sz="0" w:space="0" w:color="auto"/>
        <w:right w:val="none" w:sz="0" w:space="0" w:color="auto"/>
      </w:divBdr>
    </w:div>
    <w:div w:id="1449280367">
      <w:bodyDiv w:val="1"/>
      <w:marLeft w:val="0"/>
      <w:marRight w:val="0"/>
      <w:marTop w:val="0"/>
      <w:marBottom w:val="0"/>
      <w:divBdr>
        <w:top w:val="none" w:sz="0" w:space="0" w:color="auto"/>
        <w:left w:val="none" w:sz="0" w:space="0" w:color="auto"/>
        <w:bottom w:val="none" w:sz="0" w:space="0" w:color="auto"/>
        <w:right w:val="none" w:sz="0" w:space="0" w:color="auto"/>
      </w:divBdr>
    </w:div>
    <w:div w:id="1459491011">
      <w:bodyDiv w:val="1"/>
      <w:marLeft w:val="0"/>
      <w:marRight w:val="0"/>
      <w:marTop w:val="0"/>
      <w:marBottom w:val="0"/>
      <w:divBdr>
        <w:top w:val="none" w:sz="0" w:space="0" w:color="auto"/>
        <w:left w:val="none" w:sz="0" w:space="0" w:color="auto"/>
        <w:bottom w:val="none" w:sz="0" w:space="0" w:color="auto"/>
        <w:right w:val="none" w:sz="0" w:space="0" w:color="auto"/>
      </w:divBdr>
    </w:div>
    <w:div w:id="1488014778">
      <w:bodyDiv w:val="1"/>
      <w:marLeft w:val="0"/>
      <w:marRight w:val="0"/>
      <w:marTop w:val="0"/>
      <w:marBottom w:val="0"/>
      <w:divBdr>
        <w:top w:val="none" w:sz="0" w:space="0" w:color="auto"/>
        <w:left w:val="none" w:sz="0" w:space="0" w:color="auto"/>
        <w:bottom w:val="none" w:sz="0" w:space="0" w:color="auto"/>
        <w:right w:val="none" w:sz="0" w:space="0" w:color="auto"/>
      </w:divBdr>
    </w:div>
    <w:div w:id="1506439779">
      <w:bodyDiv w:val="1"/>
      <w:marLeft w:val="0"/>
      <w:marRight w:val="0"/>
      <w:marTop w:val="0"/>
      <w:marBottom w:val="0"/>
      <w:divBdr>
        <w:top w:val="none" w:sz="0" w:space="0" w:color="auto"/>
        <w:left w:val="none" w:sz="0" w:space="0" w:color="auto"/>
        <w:bottom w:val="none" w:sz="0" w:space="0" w:color="auto"/>
        <w:right w:val="none" w:sz="0" w:space="0" w:color="auto"/>
      </w:divBdr>
    </w:div>
    <w:div w:id="1532648578">
      <w:bodyDiv w:val="1"/>
      <w:marLeft w:val="0"/>
      <w:marRight w:val="0"/>
      <w:marTop w:val="0"/>
      <w:marBottom w:val="0"/>
      <w:divBdr>
        <w:top w:val="none" w:sz="0" w:space="0" w:color="auto"/>
        <w:left w:val="none" w:sz="0" w:space="0" w:color="auto"/>
        <w:bottom w:val="none" w:sz="0" w:space="0" w:color="auto"/>
        <w:right w:val="none" w:sz="0" w:space="0" w:color="auto"/>
      </w:divBdr>
    </w:div>
    <w:div w:id="1564020968">
      <w:bodyDiv w:val="1"/>
      <w:marLeft w:val="0"/>
      <w:marRight w:val="0"/>
      <w:marTop w:val="0"/>
      <w:marBottom w:val="0"/>
      <w:divBdr>
        <w:top w:val="none" w:sz="0" w:space="0" w:color="auto"/>
        <w:left w:val="none" w:sz="0" w:space="0" w:color="auto"/>
        <w:bottom w:val="none" w:sz="0" w:space="0" w:color="auto"/>
        <w:right w:val="none" w:sz="0" w:space="0" w:color="auto"/>
      </w:divBdr>
    </w:div>
    <w:div w:id="1628125191">
      <w:bodyDiv w:val="1"/>
      <w:marLeft w:val="0"/>
      <w:marRight w:val="0"/>
      <w:marTop w:val="0"/>
      <w:marBottom w:val="0"/>
      <w:divBdr>
        <w:top w:val="none" w:sz="0" w:space="0" w:color="auto"/>
        <w:left w:val="none" w:sz="0" w:space="0" w:color="auto"/>
        <w:bottom w:val="none" w:sz="0" w:space="0" w:color="auto"/>
        <w:right w:val="none" w:sz="0" w:space="0" w:color="auto"/>
      </w:divBdr>
    </w:div>
    <w:div w:id="1629974556">
      <w:bodyDiv w:val="1"/>
      <w:marLeft w:val="0"/>
      <w:marRight w:val="0"/>
      <w:marTop w:val="0"/>
      <w:marBottom w:val="0"/>
      <w:divBdr>
        <w:top w:val="none" w:sz="0" w:space="0" w:color="auto"/>
        <w:left w:val="none" w:sz="0" w:space="0" w:color="auto"/>
        <w:bottom w:val="none" w:sz="0" w:space="0" w:color="auto"/>
        <w:right w:val="none" w:sz="0" w:space="0" w:color="auto"/>
      </w:divBdr>
    </w:div>
    <w:div w:id="1671177240">
      <w:bodyDiv w:val="1"/>
      <w:marLeft w:val="0"/>
      <w:marRight w:val="0"/>
      <w:marTop w:val="0"/>
      <w:marBottom w:val="0"/>
      <w:divBdr>
        <w:top w:val="none" w:sz="0" w:space="0" w:color="auto"/>
        <w:left w:val="none" w:sz="0" w:space="0" w:color="auto"/>
        <w:bottom w:val="none" w:sz="0" w:space="0" w:color="auto"/>
        <w:right w:val="none" w:sz="0" w:space="0" w:color="auto"/>
      </w:divBdr>
      <w:divsChild>
        <w:div w:id="1533030829">
          <w:marLeft w:val="547"/>
          <w:marRight w:val="0"/>
          <w:marTop w:val="0"/>
          <w:marBottom w:val="0"/>
          <w:divBdr>
            <w:top w:val="none" w:sz="0" w:space="0" w:color="auto"/>
            <w:left w:val="none" w:sz="0" w:space="0" w:color="auto"/>
            <w:bottom w:val="none" w:sz="0" w:space="0" w:color="auto"/>
            <w:right w:val="none" w:sz="0" w:space="0" w:color="auto"/>
          </w:divBdr>
        </w:div>
      </w:divsChild>
    </w:div>
    <w:div w:id="1680693312">
      <w:bodyDiv w:val="1"/>
      <w:marLeft w:val="0"/>
      <w:marRight w:val="0"/>
      <w:marTop w:val="0"/>
      <w:marBottom w:val="0"/>
      <w:divBdr>
        <w:top w:val="none" w:sz="0" w:space="0" w:color="auto"/>
        <w:left w:val="none" w:sz="0" w:space="0" w:color="auto"/>
        <w:bottom w:val="none" w:sz="0" w:space="0" w:color="auto"/>
        <w:right w:val="none" w:sz="0" w:space="0" w:color="auto"/>
      </w:divBdr>
    </w:div>
    <w:div w:id="1695183497">
      <w:bodyDiv w:val="1"/>
      <w:marLeft w:val="0"/>
      <w:marRight w:val="0"/>
      <w:marTop w:val="0"/>
      <w:marBottom w:val="0"/>
      <w:divBdr>
        <w:top w:val="none" w:sz="0" w:space="0" w:color="auto"/>
        <w:left w:val="none" w:sz="0" w:space="0" w:color="auto"/>
        <w:bottom w:val="none" w:sz="0" w:space="0" w:color="auto"/>
        <w:right w:val="none" w:sz="0" w:space="0" w:color="auto"/>
      </w:divBdr>
    </w:div>
    <w:div w:id="1713189023">
      <w:bodyDiv w:val="1"/>
      <w:marLeft w:val="0"/>
      <w:marRight w:val="0"/>
      <w:marTop w:val="0"/>
      <w:marBottom w:val="0"/>
      <w:divBdr>
        <w:top w:val="none" w:sz="0" w:space="0" w:color="auto"/>
        <w:left w:val="none" w:sz="0" w:space="0" w:color="auto"/>
        <w:bottom w:val="none" w:sz="0" w:space="0" w:color="auto"/>
        <w:right w:val="none" w:sz="0" w:space="0" w:color="auto"/>
      </w:divBdr>
    </w:div>
    <w:div w:id="1736902263">
      <w:bodyDiv w:val="1"/>
      <w:marLeft w:val="0"/>
      <w:marRight w:val="0"/>
      <w:marTop w:val="0"/>
      <w:marBottom w:val="0"/>
      <w:divBdr>
        <w:top w:val="none" w:sz="0" w:space="0" w:color="auto"/>
        <w:left w:val="none" w:sz="0" w:space="0" w:color="auto"/>
        <w:bottom w:val="none" w:sz="0" w:space="0" w:color="auto"/>
        <w:right w:val="none" w:sz="0" w:space="0" w:color="auto"/>
      </w:divBdr>
    </w:div>
    <w:div w:id="1746343087">
      <w:bodyDiv w:val="1"/>
      <w:marLeft w:val="0"/>
      <w:marRight w:val="0"/>
      <w:marTop w:val="0"/>
      <w:marBottom w:val="0"/>
      <w:divBdr>
        <w:top w:val="none" w:sz="0" w:space="0" w:color="auto"/>
        <w:left w:val="none" w:sz="0" w:space="0" w:color="auto"/>
        <w:bottom w:val="none" w:sz="0" w:space="0" w:color="auto"/>
        <w:right w:val="none" w:sz="0" w:space="0" w:color="auto"/>
      </w:divBdr>
    </w:div>
    <w:div w:id="1756659161">
      <w:bodyDiv w:val="1"/>
      <w:marLeft w:val="0"/>
      <w:marRight w:val="0"/>
      <w:marTop w:val="0"/>
      <w:marBottom w:val="0"/>
      <w:divBdr>
        <w:top w:val="none" w:sz="0" w:space="0" w:color="auto"/>
        <w:left w:val="none" w:sz="0" w:space="0" w:color="auto"/>
        <w:bottom w:val="none" w:sz="0" w:space="0" w:color="auto"/>
        <w:right w:val="none" w:sz="0" w:space="0" w:color="auto"/>
      </w:divBdr>
      <w:divsChild>
        <w:div w:id="1304430008">
          <w:marLeft w:val="547"/>
          <w:marRight w:val="0"/>
          <w:marTop w:val="67"/>
          <w:marBottom w:val="0"/>
          <w:divBdr>
            <w:top w:val="none" w:sz="0" w:space="0" w:color="auto"/>
            <w:left w:val="none" w:sz="0" w:space="0" w:color="auto"/>
            <w:bottom w:val="none" w:sz="0" w:space="0" w:color="auto"/>
            <w:right w:val="none" w:sz="0" w:space="0" w:color="auto"/>
          </w:divBdr>
        </w:div>
      </w:divsChild>
    </w:div>
    <w:div w:id="1763984804">
      <w:bodyDiv w:val="1"/>
      <w:marLeft w:val="0"/>
      <w:marRight w:val="0"/>
      <w:marTop w:val="0"/>
      <w:marBottom w:val="0"/>
      <w:divBdr>
        <w:top w:val="none" w:sz="0" w:space="0" w:color="auto"/>
        <w:left w:val="none" w:sz="0" w:space="0" w:color="auto"/>
        <w:bottom w:val="none" w:sz="0" w:space="0" w:color="auto"/>
        <w:right w:val="none" w:sz="0" w:space="0" w:color="auto"/>
      </w:divBdr>
      <w:divsChild>
        <w:div w:id="324165158">
          <w:marLeft w:val="1080"/>
          <w:marRight w:val="0"/>
          <w:marTop w:val="100"/>
          <w:marBottom w:val="0"/>
          <w:divBdr>
            <w:top w:val="none" w:sz="0" w:space="0" w:color="auto"/>
            <w:left w:val="none" w:sz="0" w:space="0" w:color="auto"/>
            <w:bottom w:val="none" w:sz="0" w:space="0" w:color="auto"/>
            <w:right w:val="none" w:sz="0" w:space="0" w:color="auto"/>
          </w:divBdr>
        </w:div>
        <w:div w:id="416632752">
          <w:marLeft w:val="360"/>
          <w:marRight w:val="0"/>
          <w:marTop w:val="200"/>
          <w:marBottom w:val="0"/>
          <w:divBdr>
            <w:top w:val="none" w:sz="0" w:space="0" w:color="auto"/>
            <w:left w:val="none" w:sz="0" w:space="0" w:color="auto"/>
            <w:bottom w:val="none" w:sz="0" w:space="0" w:color="auto"/>
            <w:right w:val="none" w:sz="0" w:space="0" w:color="auto"/>
          </w:divBdr>
        </w:div>
        <w:div w:id="512300400">
          <w:marLeft w:val="360"/>
          <w:marRight w:val="0"/>
          <w:marTop w:val="200"/>
          <w:marBottom w:val="0"/>
          <w:divBdr>
            <w:top w:val="none" w:sz="0" w:space="0" w:color="auto"/>
            <w:left w:val="none" w:sz="0" w:space="0" w:color="auto"/>
            <w:bottom w:val="none" w:sz="0" w:space="0" w:color="auto"/>
            <w:right w:val="none" w:sz="0" w:space="0" w:color="auto"/>
          </w:divBdr>
        </w:div>
        <w:div w:id="2064253925">
          <w:marLeft w:val="1080"/>
          <w:marRight w:val="0"/>
          <w:marTop w:val="100"/>
          <w:marBottom w:val="0"/>
          <w:divBdr>
            <w:top w:val="none" w:sz="0" w:space="0" w:color="auto"/>
            <w:left w:val="none" w:sz="0" w:space="0" w:color="auto"/>
            <w:bottom w:val="none" w:sz="0" w:space="0" w:color="auto"/>
            <w:right w:val="none" w:sz="0" w:space="0" w:color="auto"/>
          </w:divBdr>
        </w:div>
        <w:div w:id="2067681869">
          <w:marLeft w:val="1080"/>
          <w:marRight w:val="0"/>
          <w:marTop w:val="100"/>
          <w:marBottom w:val="0"/>
          <w:divBdr>
            <w:top w:val="none" w:sz="0" w:space="0" w:color="auto"/>
            <w:left w:val="none" w:sz="0" w:space="0" w:color="auto"/>
            <w:bottom w:val="none" w:sz="0" w:space="0" w:color="auto"/>
            <w:right w:val="none" w:sz="0" w:space="0" w:color="auto"/>
          </w:divBdr>
        </w:div>
        <w:div w:id="2068457504">
          <w:marLeft w:val="1080"/>
          <w:marRight w:val="0"/>
          <w:marTop w:val="100"/>
          <w:marBottom w:val="0"/>
          <w:divBdr>
            <w:top w:val="none" w:sz="0" w:space="0" w:color="auto"/>
            <w:left w:val="none" w:sz="0" w:space="0" w:color="auto"/>
            <w:bottom w:val="none" w:sz="0" w:space="0" w:color="auto"/>
            <w:right w:val="none" w:sz="0" w:space="0" w:color="auto"/>
          </w:divBdr>
        </w:div>
      </w:divsChild>
    </w:div>
    <w:div w:id="1765685734">
      <w:bodyDiv w:val="1"/>
      <w:marLeft w:val="0"/>
      <w:marRight w:val="0"/>
      <w:marTop w:val="0"/>
      <w:marBottom w:val="0"/>
      <w:divBdr>
        <w:top w:val="none" w:sz="0" w:space="0" w:color="auto"/>
        <w:left w:val="none" w:sz="0" w:space="0" w:color="auto"/>
        <w:bottom w:val="none" w:sz="0" w:space="0" w:color="auto"/>
        <w:right w:val="none" w:sz="0" w:space="0" w:color="auto"/>
      </w:divBdr>
    </w:div>
    <w:div w:id="1768042849">
      <w:bodyDiv w:val="1"/>
      <w:marLeft w:val="0"/>
      <w:marRight w:val="0"/>
      <w:marTop w:val="0"/>
      <w:marBottom w:val="0"/>
      <w:divBdr>
        <w:top w:val="none" w:sz="0" w:space="0" w:color="auto"/>
        <w:left w:val="none" w:sz="0" w:space="0" w:color="auto"/>
        <w:bottom w:val="none" w:sz="0" w:space="0" w:color="auto"/>
        <w:right w:val="none" w:sz="0" w:space="0" w:color="auto"/>
      </w:divBdr>
    </w:div>
    <w:div w:id="1806308736">
      <w:bodyDiv w:val="1"/>
      <w:marLeft w:val="0"/>
      <w:marRight w:val="0"/>
      <w:marTop w:val="0"/>
      <w:marBottom w:val="0"/>
      <w:divBdr>
        <w:top w:val="none" w:sz="0" w:space="0" w:color="auto"/>
        <w:left w:val="none" w:sz="0" w:space="0" w:color="auto"/>
        <w:bottom w:val="none" w:sz="0" w:space="0" w:color="auto"/>
        <w:right w:val="none" w:sz="0" w:space="0" w:color="auto"/>
      </w:divBdr>
    </w:div>
    <w:div w:id="1847596196">
      <w:bodyDiv w:val="1"/>
      <w:marLeft w:val="0"/>
      <w:marRight w:val="0"/>
      <w:marTop w:val="0"/>
      <w:marBottom w:val="0"/>
      <w:divBdr>
        <w:top w:val="none" w:sz="0" w:space="0" w:color="auto"/>
        <w:left w:val="none" w:sz="0" w:space="0" w:color="auto"/>
        <w:bottom w:val="none" w:sz="0" w:space="0" w:color="auto"/>
        <w:right w:val="none" w:sz="0" w:space="0" w:color="auto"/>
      </w:divBdr>
      <w:divsChild>
        <w:div w:id="888345110">
          <w:marLeft w:val="547"/>
          <w:marRight w:val="0"/>
          <w:marTop w:val="67"/>
          <w:marBottom w:val="0"/>
          <w:divBdr>
            <w:top w:val="none" w:sz="0" w:space="0" w:color="auto"/>
            <w:left w:val="none" w:sz="0" w:space="0" w:color="auto"/>
            <w:bottom w:val="none" w:sz="0" w:space="0" w:color="auto"/>
            <w:right w:val="none" w:sz="0" w:space="0" w:color="auto"/>
          </w:divBdr>
        </w:div>
      </w:divsChild>
    </w:div>
    <w:div w:id="1863589115">
      <w:bodyDiv w:val="1"/>
      <w:marLeft w:val="0"/>
      <w:marRight w:val="0"/>
      <w:marTop w:val="0"/>
      <w:marBottom w:val="0"/>
      <w:divBdr>
        <w:top w:val="none" w:sz="0" w:space="0" w:color="auto"/>
        <w:left w:val="none" w:sz="0" w:space="0" w:color="auto"/>
        <w:bottom w:val="none" w:sz="0" w:space="0" w:color="auto"/>
        <w:right w:val="none" w:sz="0" w:space="0" w:color="auto"/>
      </w:divBdr>
    </w:div>
    <w:div w:id="1868710332">
      <w:bodyDiv w:val="1"/>
      <w:marLeft w:val="0"/>
      <w:marRight w:val="0"/>
      <w:marTop w:val="0"/>
      <w:marBottom w:val="0"/>
      <w:divBdr>
        <w:top w:val="none" w:sz="0" w:space="0" w:color="auto"/>
        <w:left w:val="none" w:sz="0" w:space="0" w:color="auto"/>
        <w:bottom w:val="none" w:sz="0" w:space="0" w:color="auto"/>
        <w:right w:val="none" w:sz="0" w:space="0" w:color="auto"/>
      </w:divBdr>
      <w:divsChild>
        <w:div w:id="367611499">
          <w:marLeft w:val="274"/>
          <w:marRight w:val="0"/>
          <w:marTop w:val="0"/>
          <w:marBottom w:val="0"/>
          <w:divBdr>
            <w:top w:val="none" w:sz="0" w:space="0" w:color="auto"/>
            <w:left w:val="none" w:sz="0" w:space="0" w:color="auto"/>
            <w:bottom w:val="none" w:sz="0" w:space="0" w:color="auto"/>
            <w:right w:val="none" w:sz="0" w:space="0" w:color="auto"/>
          </w:divBdr>
        </w:div>
        <w:div w:id="375394555">
          <w:marLeft w:val="274"/>
          <w:marRight w:val="0"/>
          <w:marTop w:val="0"/>
          <w:marBottom w:val="0"/>
          <w:divBdr>
            <w:top w:val="none" w:sz="0" w:space="0" w:color="auto"/>
            <w:left w:val="none" w:sz="0" w:space="0" w:color="auto"/>
            <w:bottom w:val="none" w:sz="0" w:space="0" w:color="auto"/>
            <w:right w:val="none" w:sz="0" w:space="0" w:color="auto"/>
          </w:divBdr>
        </w:div>
        <w:div w:id="799497524">
          <w:marLeft w:val="274"/>
          <w:marRight w:val="0"/>
          <w:marTop w:val="0"/>
          <w:marBottom w:val="0"/>
          <w:divBdr>
            <w:top w:val="none" w:sz="0" w:space="0" w:color="auto"/>
            <w:left w:val="none" w:sz="0" w:space="0" w:color="auto"/>
            <w:bottom w:val="none" w:sz="0" w:space="0" w:color="auto"/>
            <w:right w:val="none" w:sz="0" w:space="0" w:color="auto"/>
          </w:divBdr>
        </w:div>
      </w:divsChild>
    </w:div>
    <w:div w:id="1908034704">
      <w:bodyDiv w:val="1"/>
      <w:marLeft w:val="0"/>
      <w:marRight w:val="0"/>
      <w:marTop w:val="0"/>
      <w:marBottom w:val="0"/>
      <w:divBdr>
        <w:top w:val="none" w:sz="0" w:space="0" w:color="auto"/>
        <w:left w:val="none" w:sz="0" w:space="0" w:color="auto"/>
        <w:bottom w:val="none" w:sz="0" w:space="0" w:color="auto"/>
        <w:right w:val="none" w:sz="0" w:space="0" w:color="auto"/>
      </w:divBdr>
    </w:div>
    <w:div w:id="1927807331">
      <w:bodyDiv w:val="1"/>
      <w:marLeft w:val="0"/>
      <w:marRight w:val="0"/>
      <w:marTop w:val="0"/>
      <w:marBottom w:val="0"/>
      <w:divBdr>
        <w:top w:val="none" w:sz="0" w:space="0" w:color="auto"/>
        <w:left w:val="none" w:sz="0" w:space="0" w:color="auto"/>
        <w:bottom w:val="none" w:sz="0" w:space="0" w:color="auto"/>
        <w:right w:val="none" w:sz="0" w:space="0" w:color="auto"/>
      </w:divBdr>
      <w:divsChild>
        <w:div w:id="1281032779">
          <w:marLeft w:val="1080"/>
          <w:marRight w:val="0"/>
          <w:marTop w:val="100"/>
          <w:marBottom w:val="0"/>
          <w:divBdr>
            <w:top w:val="none" w:sz="0" w:space="0" w:color="auto"/>
            <w:left w:val="none" w:sz="0" w:space="0" w:color="auto"/>
            <w:bottom w:val="none" w:sz="0" w:space="0" w:color="auto"/>
            <w:right w:val="none" w:sz="0" w:space="0" w:color="auto"/>
          </w:divBdr>
        </w:div>
      </w:divsChild>
    </w:div>
    <w:div w:id="1952321147">
      <w:bodyDiv w:val="1"/>
      <w:marLeft w:val="0"/>
      <w:marRight w:val="0"/>
      <w:marTop w:val="0"/>
      <w:marBottom w:val="0"/>
      <w:divBdr>
        <w:top w:val="none" w:sz="0" w:space="0" w:color="auto"/>
        <w:left w:val="none" w:sz="0" w:space="0" w:color="auto"/>
        <w:bottom w:val="none" w:sz="0" w:space="0" w:color="auto"/>
        <w:right w:val="none" w:sz="0" w:space="0" w:color="auto"/>
      </w:divBdr>
    </w:div>
    <w:div w:id="1955018582">
      <w:bodyDiv w:val="1"/>
      <w:marLeft w:val="0"/>
      <w:marRight w:val="0"/>
      <w:marTop w:val="0"/>
      <w:marBottom w:val="0"/>
      <w:divBdr>
        <w:top w:val="none" w:sz="0" w:space="0" w:color="auto"/>
        <w:left w:val="none" w:sz="0" w:space="0" w:color="auto"/>
        <w:bottom w:val="none" w:sz="0" w:space="0" w:color="auto"/>
        <w:right w:val="none" w:sz="0" w:space="0" w:color="auto"/>
      </w:divBdr>
    </w:div>
    <w:div w:id="1995603279">
      <w:bodyDiv w:val="1"/>
      <w:marLeft w:val="0"/>
      <w:marRight w:val="0"/>
      <w:marTop w:val="0"/>
      <w:marBottom w:val="0"/>
      <w:divBdr>
        <w:top w:val="none" w:sz="0" w:space="0" w:color="auto"/>
        <w:left w:val="none" w:sz="0" w:space="0" w:color="auto"/>
        <w:bottom w:val="none" w:sz="0" w:space="0" w:color="auto"/>
        <w:right w:val="none" w:sz="0" w:space="0" w:color="auto"/>
      </w:divBdr>
    </w:div>
    <w:div w:id="2010595964">
      <w:bodyDiv w:val="1"/>
      <w:marLeft w:val="0"/>
      <w:marRight w:val="0"/>
      <w:marTop w:val="0"/>
      <w:marBottom w:val="0"/>
      <w:divBdr>
        <w:top w:val="none" w:sz="0" w:space="0" w:color="auto"/>
        <w:left w:val="none" w:sz="0" w:space="0" w:color="auto"/>
        <w:bottom w:val="none" w:sz="0" w:space="0" w:color="auto"/>
        <w:right w:val="none" w:sz="0" w:space="0" w:color="auto"/>
      </w:divBdr>
    </w:div>
    <w:div w:id="2014457559">
      <w:bodyDiv w:val="1"/>
      <w:marLeft w:val="0"/>
      <w:marRight w:val="0"/>
      <w:marTop w:val="0"/>
      <w:marBottom w:val="0"/>
      <w:divBdr>
        <w:top w:val="none" w:sz="0" w:space="0" w:color="auto"/>
        <w:left w:val="none" w:sz="0" w:space="0" w:color="auto"/>
        <w:bottom w:val="none" w:sz="0" w:space="0" w:color="auto"/>
        <w:right w:val="none" w:sz="0" w:space="0" w:color="auto"/>
      </w:divBdr>
      <w:divsChild>
        <w:div w:id="142358915">
          <w:marLeft w:val="547"/>
          <w:marRight w:val="0"/>
          <w:marTop w:val="240"/>
          <w:marBottom w:val="0"/>
          <w:divBdr>
            <w:top w:val="none" w:sz="0" w:space="0" w:color="auto"/>
            <w:left w:val="none" w:sz="0" w:space="0" w:color="auto"/>
            <w:bottom w:val="none" w:sz="0" w:space="0" w:color="auto"/>
            <w:right w:val="none" w:sz="0" w:space="0" w:color="auto"/>
          </w:divBdr>
        </w:div>
        <w:div w:id="344290008">
          <w:marLeft w:val="547"/>
          <w:marRight w:val="0"/>
          <w:marTop w:val="240"/>
          <w:marBottom w:val="0"/>
          <w:divBdr>
            <w:top w:val="none" w:sz="0" w:space="0" w:color="auto"/>
            <w:left w:val="none" w:sz="0" w:space="0" w:color="auto"/>
            <w:bottom w:val="none" w:sz="0" w:space="0" w:color="auto"/>
            <w:right w:val="none" w:sz="0" w:space="0" w:color="auto"/>
          </w:divBdr>
        </w:div>
        <w:div w:id="2011447390">
          <w:marLeft w:val="547"/>
          <w:marRight w:val="0"/>
          <w:marTop w:val="240"/>
          <w:marBottom w:val="0"/>
          <w:divBdr>
            <w:top w:val="none" w:sz="0" w:space="0" w:color="auto"/>
            <w:left w:val="none" w:sz="0" w:space="0" w:color="auto"/>
            <w:bottom w:val="none" w:sz="0" w:space="0" w:color="auto"/>
            <w:right w:val="none" w:sz="0" w:space="0" w:color="auto"/>
          </w:divBdr>
        </w:div>
      </w:divsChild>
    </w:div>
    <w:div w:id="2049835286">
      <w:bodyDiv w:val="1"/>
      <w:marLeft w:val="0"/>
      <w:marRight w:val="0"/>
      <w:marTop w:val="0"/>
      <w:marBottom w:val="0"/>
      <w:divBdr>
        <w:top w:val="none" w:sz="0" w:space="0" w:color="auto"/>
        <w:left w:val="none" w:sz="0" w:space="0" w:color="auto"/>
        <w:bottom w:val="none" w:sz="0" w:space="0" w:color="auto"/>
        <w:right w:val="none" w:sz="0" w:space="0" w:color="auto"/>
      </w:divBdr>
      <w:divsChild>
        <w:div w:id="1005522854">
          <w:marLeft w:val="0"/>
          <w:marRight w:val="0"/>
          <w:marTop w:val="0"/>
          <w:marBottom w:val="0"/>
          <w:divBdr>
            <w:top w:val="none" w:sz="0" w:space="0" w:color="auto"/>
            <w:left w:val="none" w:sz="0" w:space="0" w:color="auto"/>
            <w:bottom w:val="none" w:sz="0" w:space="0" w:color="auto"/>
            <w:right w:val="none" w:sz="0" w:space="0" w:color="auto"/>
          </w:divBdr>
        </w:div>
      </w:divsChild>
    </w:div>
    <w:div w:id="2081512537">
      <w:bodyDiv w:val="1"/>
      <w:marLeft w:val="0"/>
      <w:marRight w:val="0"/>
      <w:marTop w:val="0"/>
      <w:marBottom w:val="0"/>
      <w:divBdr>
        <w:top w:val="none" w:sz="0" w:space="0" w:color="auto"/>
        <w:left w:val="none" w:sz="0" w:space="0" w:color="auto"/>
        <w:bottom w:val="none" w:sz="0" w:space="0" w:color="auto"/>
        <w:right w:val="none" w:sz="0" w:space="0" w:color="auto"/>
      </w:divBdr>
    </w:div>
    <w:div w:id="2109764399">
      <w:bodyDiv w:val="1"/>
      <w:marLeft w:val="0"/>
      <w:marRight w:val="0"/>
      <w:marTop w:val="0"/>
      <w:marBottom w:val="0"/>
      <w:divBdr>
        <w:top w:val="none" w:sz="0" w:space="0" w:color="auto"/>
        <w:left w:val="none" w:sz="0" w:space="0" w:color="auto"/>
        <w:bottom w:val="none" w:sz="0" w:space="0" w:color="auto"/>
        <w:right w:val="none" w:sz="0" w:space="0" w:color="auto"/>
      </w:divBdr>
    </w:div>
    <w:div w:id="2124032263">
      <w:bodyDiv w:val="1"/>
      <w:marLeft w:val="0"/>
      <w:marRight w:val="0"/>
      <w:marTop w:val="0"/>
      <w:marBottom w:val="0"/>
      <w:divBdr>
        <w:top w:val="none" w:sz="0" w:space="0" w:color="auto"/>
        <w:left w:val="none" w:sz="0" w:space="0" w:color="auto"/>
        <w:bottom w:val="none" w:sz="0" w:space="0" w:color="auto"/>
        <w:right w:val="none" w:sz="0" w:space="0" w:color="auto"/>
      </w:divBdr>
      <w:divsChild>
        <w:div w:id="10110037">
          <w:marLeft w:val="274"/>
          <w:marRight w:val="0"/>
          <w:marTop w:val="0"/>
          <w:marBottom w:val="0"/>
          <w:divBdr>
            <w:top w:val="none" w:sz="0" w:space="0" w:color="auto"/>
            <w:left w:val="none" w:sz="0" w:space="0" w:color="auto"/>
            <w:bottom w:val="none" w:sz="0" w:space="0" w:color="auto"/>
            <w:right w:val="none" w:sz="0" w:space="0" w:color="auto"/>
          </w:divBdr>
        </w:div>
        <w:div w:id="403184781">
          <w:marLeft w:val="274"/>
          <w:marRight w:val="0"/>
          <w:marTop w:val="0"/>
          <w:marBottom w:val="0"/>
          <w:divBdr>
            <w:top w:val="none" w:sz="0" w:space="0" w:color="auto"/>
            <w:left w:val="none" w:sz="0" w:space="0" w:color="auto"/>
            <w:bottom w:val="none" w:sz="0" w:space="0" w:color="auto"/>
            <w:right w:val="none" w:sz="0" w:space="0" w:color="auto"/>
          </w:divBdr>
        </w:div>
        <w:div w:id="676232154">
          <w:marLeft w:val="274"/>
          <w:marRight w:val="0"/>
          <w:marTop w:val="0"/>
          <w:marBottom w:val="0"/>
          <w:divBdr>
            <w:top w:val="none" w:sz="0" w:space="0" w:color="auto"/>
            <w:left w:val="none" w:sz="0" w:space="0" w:color="auto"/>
            <w:bottom w:val="none" w:sz="0" w:space="0" w:color="auto"/>
            <w:right w:val="none" w:sz="0" w:space="0" w:color="auto"/>
          </w:divBdr>
        </w:div>
        <w:div w:id="992106942">
          <w:marLeft w:val="274"/>
          <w:marRight w:val="0"/>
          <w:marTop w:val="0"/>
          <w:marBottom w:val="0"/>
          <w:divBdr>
            <w:top w:val="none" w:sz="0" w:space="0" w:color="auto"/>
            <w:left w:val="none" w:sz="0" w:space="0" w:color="auto"/>
            <w:bottom w:val="none" w:sz="0" w:space="0" w:color="auto"/>
            <w:right w:val="none" w:sz="0" w:space="0" w:color="auto"/>
          </w:divBdr>
        </w:div>
        <w:div w:id="1468086945">
          <w:marLeft w:val="274"/>
          <w:marRight w:val="0"/>
          <w:marTop w:val="0"/>
          <w:marBottom w:val="0"/>
          <w:divBdr>
            <w:top w:val="none" w:sz="0" w:space="0" w:color="auto"/>
            <w:left w:val="none" w:sz="0" w:space="0" w:color="auto"/>
            <w:bottom w:val="none" w:sz="0" w:space="0" w:color="auto"/>
            <w:right w:val="none" w:sz="0" w:space="0" w:color="auto"/>
          </w:divBdr>
        </w:div>
        <w:div w:id="2132242323">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medan.gov.ng/images/PDF/MSME-National-Policy.pdf&#8203;&#8203;&#8203;&#8203;&#8203;&#82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ate.opentreasury@gifmis.gov.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CD81BB9C91764D88D46620614EA241" ma:contentTypeVersion="14" ma:contentTypeDescription="Create a new document." ma:contentTypeScope="" ma:versionID="8813354cce70a14b38dd3a1c33a4571c">
  <xsd:schema xmlns:xsd="http://www.w3.org/2001/XMLSchema" xmlns:xs="http://www.w3.org/2001/XMLSchema" xmlns:p="http://schemas.microsoft.com/office/2006/metadata/properties" xmlns:ns3="2dfc78fc-a785-45eb-a6c2-4e004c6826e3" xmlns:ns4="e11b1bf1-382b-4555-8a31-8f78eafecca7" targetNamespace="http://schemas.microsoft.com/office/2006/metadata/properties" ma:root="true" ma:fieldsID="fadc2ac2d1387169e52e6e126d10065c" ns3:_="" ns4:_="">
    <xsd:import namespace="2dfc78fc-a785-45eb-a6c2-4e004c6826e3"/>
    <xsd:import namespace="e11b1bf1-382b-4555-8a31-8f78eafec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c78fc-a785-45eb-a6c2-4e004c682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b1bf1-382b-4555-8a31-8f78eafecca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19D24-9EC2-4098-BE87-43E684F51ED2}">
  <ds:schemaRefs>
    <ds:schemaRef ds:uri="http://schemas.openxmlformats.org/officeDocument/2006/bibliography"/>
  </ds:schemaRefs>
</ds:datastoreItem>
</file>

<file path=customXml/itemProps2.xml><?xml version="1.0" encoding="utf-8"?>
<ds:datastoreItem xmlns:ds="http://schemas.openxmlformats.org/officeDocument/2006/customXml" ds:itemID="{C6775940-CBDB-4799-ACED-9DE496D54FC3}">
  <ds:schemaRefs>
    <ds:schemaRef ds:uri="http://schemas.microsoft.com/sharepoint/v3/contenttype/forms"/>
  </ds:schemaRefs>
</ds:datastoreItem>
</file>

<file path=customXml/itemProps3.xml><?xml version="1.0" encoding="utf-8"?>
<ds:datastoreItem xmlns:ds="http://schemas.openxmlformats.org/officeDocument/2006/customXml" ds:itemID="{0C63F564-BF84-4C03-B756-9E7D394AE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DEC5D0-ED2D-4C20-9CDE-D502B66B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c78fc-a785-45eb-a6c2-4e004c6826e3"/>
    <ds:schemaRef ds:uri="e11b1bf1-382b-4555-8a31-8f78eafe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78</Pages>
  <Words>29461</Words>
  <Characters>167931</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196999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Oyinda Adedokun</cp:lastModifiedBy>
  <cp:revision>1</cp:revision>
  <cp:lastPrinted>2022-06-30T13:34:00Z</cp:lastPrinted>
  <dcterms:created xsi:type="dcterms:W3CDTF">2022-06-28T20:35:00Z</dcterms:created>
  <dcterms:modified xsi:type="dcterms:W3CDTF">2022-07-06T15:14:00Z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0x010100E4CD81BB9C91764D88D46620614EA241</vt:lpwstr>
  </property>
  <property fmtid="{D5CDD505-2E9C-101B-9397-08002B2CF9AE}" pid="3" name="OPSCustomProjectID">
    <vt:lpwstr>P102900</vt:lpwstr>
  </property>
  <property fmtid="{D5CDD505-2E9C-101B-9397-08002B2CF9AE}" pid="4" name="Author0">
    <vt:lpwstr>Malek Atallah</vt:lpwstr>
  </property>
</Properties>
</file>