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998AB"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7322AD50" w14:textId="77777777" w:rsidR="004C6756" w:rsidRPr="008A505C" w:rsidRDefault="004C6756" w:rsidP="004C6756">
      <w:pPr>
        <w:numPr>
          <w:ilvl w:val="0"/>
          <w:numId w:val="1"/>
        </w:numPr>
        <w:tabs>
          <w:tab w:val="left" w:pos="1461"/>
        </w:tabs>
        <w:spacing w:after="0" w:line="276" w:lineRule="auto"/>
        <w:ind w:left="1267"/>
        <w:contextualSpacing/>
        <w:jc w:val="both"/>
        <w:rPr>
          <w:rFonts w:ascii="Times New Roman" w:eastAsia="Times New Roman" w:hAnsi="Times New Roman" w:cs="Times New Roman"/>
          <w:sz w:val="28"/>
          <w:szCs w:val="28"/>
        </w:rPr>
      </w:pPr>
      <w:r w:rsidRPr="008A505C">
        <w:rPr>
          <w:rFonts w:ascii="Candara" w:eastAsiaTheme="minorEastAsia" w:hAnsi="Candara"/>
          <w:color w:val="2E74B5"/>
          <w:kern w:val="24"/>
          <w:sz w:val="28"/>
          <w:szCs w:val="28"/>
        </w:rPr>
        <w:t xml:space="preserve">Eligibility Criteria (EC) </w:t>
      </w:r>
    </w:p>
    <w:p w14:paraId="145FC40F" w14:textId="77777777" w:rsidR="004C6756"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Publish Annual Budget and Audited Financial Statements Online.</w:t>
      </w:r>
    </w:p>
    <w:p w14:paraId="38F13FCD" w14:textId="77777777" w:rsidR="004C6756" w:rsidRDefault="004C6756" w:rsidP="004C6756">
      <w:pPr>
        <w:tabs>
          <w:tab w:val="left" w:pos="1461"/>
        </w:tabs>
        <w:spacing w:after="0" w:line="276" w:lineRule="auto"/>
        <w:ind w:left="2707"/>
        <w:contextualSpacing/>
        <w:jc w:val="both"/>
        <w:rPr>
          <w:rFonts w:ascii="Candara" w:eastAsia="Candara" w:hAnsi="Candara" w:cs="Candara"/>
          <w:lang w:bidi="en-US"/>
        </w:rPr>
      </w:pPr>
    </w:p>
    <w:p w14:paraId="1A2978D6" w14:textId="77777777" w:rsidR="004C6756" w:rsidRDefault="004C6756" w:rsidP="004C6756">
      <w:pPr>
        <w:numPr>
          <w:ilvl w:val="0"/>
          <w:numId w:val="1"/>
        </w:numPr>
        <w:tabs>
          <w:tab w:val="left" w:pos="1461"/>
        </w:tabs>
        <w:spacing w:after="0" w:line="276" w:lineRule="auto"/>
        <w:ind w:left="1267"/>
        <w:contextualSpacing/>
        <w:jc w:val="both"/>
        <w:rPr>
          <w:rFonts w:ascii="Candara" w:eastAsiaTheme="minorEastAsia" w:hAnsi="Candara"/>
          <w:color w:val="2E74B5"/>
          <w:kern w:val="24"/>
          <w:sz w:val="24"/>
          <w:szCs w:val="24"/>
        </w:rPr>
      </w:pPr>
      <w:r w:rsidRPr="008A505C">
        <w:rPr>
          <w:rFonts w:ascii="Candara" w:eastAsiaTheme="minorEastAsia" w:hAnsi="Candara"/>
          <w:color w:val="2E74B5"/>
          <w:kern w:val="24"/>
          <w:sz w:val="24"/>
          <w:szCs w:val="24"/>
        </w:rPr>
        <w:t xml:space="preserve">Original SFTAS </w:t>
      </w:r>
      <w:proofErr w:type="spellStart"/>
      <w:r w:rsidRPr="008A505C">
        <w:rPr>
          <w:rFonts w:ascii="Candara" w:eastAsiaTheme="minorEastAsia" w:hAnsi="Candara"/>
          <w:color w:val="2E74B5"/>
          <w:kern w:val="24"/>
          <w:sz w:val="24"/>
          <w:szCs w:val="24"/>
        </w:rPr>
        <w:t>Programme</w:t>
      </w:r>
      <w:proofErr w:type="spellEnd"/>
      <w:r w:rsidRPr="008A505C">
        <w:rPr>
          <w:rFonts w:ascii="Candara" w:eastAsiaTheme="minorEastAsia" w:hAnsi="Candara"/>
          <w:color w:val="2E74B5"/>
          <w:kern w:val="24"/>
          <w:sz w:val="24"/>
          <w:szCs w:val="24"/>
        </w:rPr>
        <w:t xml:space="preserve"> Disbursement Linked Indicators (DLIs)</w:t>
      </w:r>
    </w:p>
    <w:p w14:paraId="440D69A8" w14:textId="77777777" w:rsidR="004C6756" w:rsidRPr="008A505C" w:rsidRDefault="004C6756" w:rsidP="004C6756">
      <w:pPr>
        <w:tabs>
          <w:tab w:val="left" w:pos="1461"/>
        </w:tabs>
        <w:spacing w:after="0" w:line="276" w:lineRule="auto"/>
        <w:ind w:left="1267"/>
        <w:contextualSpacing/>
        <w:jc w:val="both"/>
        <w:rPr>
          <w:rFonts w:ascii="Candara" w:eastAsiaTheme="minorEastAsia" w:hAnsi="Candara"/>
          <w:color w:val="2E74B5"/>
          <w:kern w:val="24"/>
          <w:sz w:val="24"/>
          <w:szCs w:val="24"/>
        </w:rPr>
      </w:pPr>
    </w:p>
    <w:p w14:paraId="519B298C"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1 – Improved budget and financial reporting transparency.</w:t>
      </w:r>
    </w:p>
    <w:p w14:paraId="4895BFB1"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2: Increased openness and citizens’ engagement in the budget process</w:t>
      </w:r>
    </w:p>
    <w:p w14:paraId="33E7CF5B"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3 – Improved cash management and reduced revenue leakages through implementation of a functional Treasury Single Account (TSA) at State level.</w:t>
      </w:r>
    </w:p>
    <w:p w14:paraId="5F0A98AB"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4 – Strengthened Internally Generated Revenue (IGR) collection.</w:t>
      </w:r>
    </w:p>
    <w:p w14:paraId="348FC452"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5 – Personnel spending: Use of biometric and Bank Verification Number (BVN) to reduce payroll fraud.</w:t>
      </w:r>
    </w:p>
    <w:p w14:paraId="0A6B3C5C"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6 – Improved public procurement systems and practices.</w:t>
      </w:r>
    </w:p>
    <w:p w14:paraId="4EF73C3C"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7: Strengthened public debt management and fiscal responsibility framework</w:t>
      </w:r>
    </w:p>
    <w:p w14:paraId="7DCEA714" w14:textId="77777777" w:rsidR="004C6756" w:rsidRPr="008A505C"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8 – Improved clearance/reduction of stock of domestic expenditure arrears</w:t>
      </w:r>
    </w:p>
    <w:p w14:paraId="7BECAFEF" w14:textId="77777777" w:rsidR="004C6756" w:rsidRDefault="004C6756" w:rsidP="004C6756">
      <w:pPr>
        <w:numPr>
          <w:ilvl w:val="1"/>
          <w:numId w:val="1"/>
        </w:numPr>
        <w:tabs>
          <w:tab w:val="clear" w:pos="1440"/>
          <w:tab w:val="left" w:pos="1461"/>
        </w:tabs>
        <w:spacing w:after="0" w:line="276" w:lineRule="auto"/>
        <w:ind w:left="2707"/>
        <w:contextualSpacing/>
        <w:jc w:val="both"/>
        <w:rPr>
          <w:rFonts w:ascii="Candara" w:eastAsia="Candara" w:hAnsi="Candara" w:cs="Candara"/>
          <w:lang w:bidi="en-US"/>
        </w:rPr>
      </w:pPr>
      <w:r w:rsidRPr="008A505C">
        <w:rPr>
          <w:rFonts w:ascii="Candara" w:eastAsia="Candara" w:hAnsi="Candara" w:cs="Candara"/>
          <w:lang w:bidi="en-US"/>
        </w:rPr>
        <w:t>DLI 9 - Improved debt sustainability</w:t>
      </w:r>
    </w:p>
    <w:p w14:paraId="422665D3"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561D2F2F" w14:textId="77777777" w:rsidR="004C6756" w:rsidRPr="00767FF8" w:rsidRDefault="004C6756" w:rsidP="004C6756">
      <w:pPr>
        <w:pStyle w:val="ListParagraph"/>
        <w:numPr>
          <w:ilvl w:val="0"/>
          <w:numId w:val="2"/>
        </w:numPr>
        <w:spacing w:line="276" w:lineRule="auto"/>
        <w:ind w:right="380"/>
        <w:outlineLvl w:val="1"/>
        <w:rPr>
          <w:b/>
          <w:iCs/>
          <w:color w:val="2E74B5" w:themeColor="accent5" w:themeShade="BF"/>
          <w:sz w:val="24"/>
        </w:rPr>
      </w:pPr>
      <w:r w:rsidRPr="00767FF8">
        <w:rPr>
          <w:b/>
          <w:iCs/>
          <w:color w:val="2E74B5" w:themeColor="accent5" w:themeShade="BF"/>
          <w:sz w:val="24"/>
        </w:rPr>
        <w:t>SFTAS New Disbursement Linked Indicators (Additional Financing)</w:t>
      </w:r>
    </w:p>
    <w:p w14:paraId="38A80E9E" w14:textId="77777777" w:rsidR="004C6756" w:rsidRDefault="004C6756" w:rsidP="004C6756">
      <w:pPr>
        <w:widowControl w:val="0"/>
        <w:autoSpaceDE w:val="0"/>
        <w:autoSpaceDN w:val="0"/>
        <w:spacing w:after="0" w:line="276" w:lineRule="auto"/>
        <w:ind w:right="380"/>
        <w:outlineLvl w:val="1"/>
        <w:rPr>
          <w:rFonts w:ascii="Candara" w:eastAsia="Candara" w:hAnsi="Candara" w:cs="Candara"/>
          <w:b/>
          <w:iCs/>
          <w:color w:val="2E74B5" w:themeColor="accent5" w:themeShade="BF"/>
          <w:sz w:val="24"/>
          <w:lang w:bidi="en-US"/>
        </w:rPr>
      </w:pPr>
    </w:p>
    <w:p w14:paraId="2245967F" w14:textId="77777777" w:rsidR="004C6756" w:rsidRPr="00D612AF" w:rsidRDefault="004C6756" w:rsidP="004C6756">
      <w:pPr>
        <w:numPr>
          <w:ilvl w:val="0"/>
          <w:numId w:val="1"/>
        </w:numPr>
        <w:tabs>
          <w:tab w:val="left" w:pos="1461"/>
        </w:tabs>
        <w:spacing w:after="0" w:line="276" w:lineRule="auto"/>
        <w:contextualSpacing/>
        <w:jc w:val="both"/>
        <w:rPr>
          <w:rFonts w:ascii="Candara" w:eastAsia="Candara" w:hAnsi="Candara" w:cs="Candara"/>
          <w:lang w:bidi="en-US"/>
        </w:rPr>
      </w:pPr>
      <w:r w:rsidRPr="00D612AF">
        <w:rPr>
          <w:rFonts w:ascii="Candara" w:eastAsia="Candara" w:hAnsi="Candara" w:cs="Candara"/>
          <w:lang w:bidi="en-US"/>
        </w:rPr>
        <w:t>DLI 10</w:t>
      </w:r>
      <w:r>
        <w:rPr>
          <w:rFonts w:ascii="Candara" w:eastAsia="Candara" w:hAnsi="Candara" w:cs="Candara"/>
          <w:lang w:bidi="en-US"/>
        </w:rPr>
        <w:t xml:space="preserve"> - </w:t>
      </w:r>
      <w:r w:rsidRPr="00D612AF">
        <w:rPr>
          <w:rFonts w:ascii="Candara" w:eastAsia="Candara" w:hAnsi="Candara" w:cs="Candara"/>
          <w:lang w:bidi="en-US"/>
        </w:rPr>
        <w:t>Enhanced transparency and accountability of funds in the COVID-19 response and resilient recovery phases</w:t>
      </w:r>
    </w:p>
    <w:p w14:paraId="62AB4A78" w14:textId="77777777" w:rsidR="004C6756" w:rsidRPr="00D612AF" w:rsidRDefault="004C6756" w:rsidP="004C6756">
      <w:pPr>
        <w:numPr>
          <w:ilvl w:val="0"/>
          <w:numId w:val="1"/>
        </w:numPr>
        <w:tabs>
          <w:tab w:val="left" w:pos="1461"/>
        </w:tabs>
        <w:spacing w:after="0" w:line="276" w:lineRule="auto"/>
        <w:contextualSpacing/>
        <w:jc w:val="both"/>
        <w:rPr>
          <w:rFonts w:ascii="Candara" w:eastAsia="Candara" w:hAnsi="Candara" w:cs="Candara"/>
          <w:lang w:bidi="en-US"/>
        </w:rPr>
      </w:pPr>
      <w:r w:rsidRPr="00D612AF">
        <w:rPr>
          <w:rFonts w:ascii="Candara" w:eastAsia="Candara" w:hAnsi="Candara" w:cs="Candara"/>
          <w:lang w:bidi="en-US"/>
        </w:rPr>
        <w:t>DLI 11</w:t>
      </w:r>
      <w:r>
        <w:rPr>
          <w:rFonts w:ascii="Candara" w:eastAsia="Candara" w:hAnsi="Candara" w:cs="Candara"/>
          <w:lang w:bidi="en-US"/>
        </w:rPr>
        <w:t xml:space="preserve"> - </w:t>
      </w:r>
      <w:r w:rsidRPr="00D612AF">
        <w:rPr>
          <w:rFonts w:ascii="Candara" w:eastAsia="Candara" w:hAnsi="Candara" w:cs="Candara"/>
          <w:lang w:bidi="en-US"/>
        </w:rPr>
        <w:t>Provided structured tax relief in response to COVID-19 and strengthened tax administration (personal income tax and property taxation) to enhance non-oil tax collection in the resilient recovery phase</w:t>
      </w:r>
    </w:p>
    <w:p w14:paraId="6054D09B" w14:textId="77777777" w:rsidR="004C6756" w:rsidRPr="00D612AF" w:rsidRDefault="004C6756" w:rsidP="004C6756">
      <w:pPr>
        <w:numPr>
          <w:ilvl w:val="0"/>
          <w:numId w:val="1"/>
        </w:numPr>
        <w:tabs>
          <w:tab w:val="left" w:pos="1461"/>
        </w:tabs>
        <w:spacing w:after="0" w:line="276" w:lineRule="auto"/>
        <w:contextualSpacing/>
        <w:jc w:val="both"/>
        <w:rPr>
          <w:rFonts w:ascii="Candara" w:eastAsia="Candara" w:hAnsi="Candara" w:cs="Candara"/>
          <w:lang w:bidi="en-US"/>
        </w:rPr>
      </w:pPr>
      <w:r w:rsidRPr="00D612AF">
        <w:rPr>
          <w:rFonts w:ascii="Candara" w:eastAsia="Candara" w:hAnsi="Candara" w:cs="Candara"/>
          <w:lang w:bidi="en-US"/>
        </w:rPr>
        <w:t>DLI 12</w:t>
      </w:r>
      <w:r>
        <w:rPr>
          <w:rFonts w:ascii="Candara" w:eastAsia="Candara" w:hAnsi="Candara" w:cs="Candara"/>
          <w:lang w:bidi="en-US"/>
        </w:rPr>
        <w:t xml:space="preserve"> - </w:t>
      </w:r>
      <w:r w:rsidRPr="00D612AF">
        <w:rPr>
          <w:rFonts w:ascii="Candara" w:eastAsia="Candara" w:hAnsi="Candara" w:cs="Candara"/>
          <w:lang w:bidi="en-US"/>
        </w:rPr>
        <w:t>Strengthened procurement function for COVID-19 or emergency situation and facilitated participation of SMEs in public procurement in the resilient recovery phase</w:t>
      </w:r>
    </w:p>
    <w:p w14:paraId="30D3C38B" w14:textId="77777777" w:rsidR="004C6756" w:rsidRPr="00D612AF" w:rsidRDefault="004C6756" w:rsidP="004C6756">
      <w:pPr>
        <w:numPr>
          <w:ilvl w:val="0"/>
          <w:numId w:val="1"/>
        </w:numPr>
        <w:tabs>
          <w:tab w:val="left" w:pos="1461"/>
        </w:tabs>
        <w:spacing w:after="0" w:line="276" w:lineRule="auto"/>
        <w:contextualSpacing/>
        <w:jc w:val="both"/>
        <w:rPr>
          <w:rFonts w:ascii="Candara" w:eastAsia="Candara" w:hAnsi="Candara" w:cs="Candara"/>
          <w:lang w:bidi="en-US"/>
        </w:rPr>
      </w:pPr>
      <w:r w:rsidRPr="00D612AF">
        <w:rPr>
          <w:rFonts w:ascii="Candara" w:eastAsia="Candara" w:hAnsi="Candara" w:cs="Candara"/>
          <w:lang w:bidi="en-US"/>
        </w:rPr>
        <w:t>DLI 13</w:t>
      </w:r>
      <w:r>
        <w:rPr>
          <w:rFonts w:ascii="Candara" w:eastAsia="Candara" w:hAnsi="Candara" w:cs="Candara"/>
          <w:lang w:bidi="en-US"/>
        </w:rPr>
        <w:t xml:space="preserve"> - </w:t>
      </w:r>
      <w:r w:rsidRPr="00D612AF">
        <w:rPr>
          <w:rFonts w:ascii="Candara" w:eastAsia="Candara" w:hAnsi="Candara" w:cs="Candara"/>
          <w:lang w:bidi="en-US"/>
        </w:rPr>
        <w:t>Established a fiscally sustainable response to COVID-19 through COVID-19 responsive budgets</w:t>
      </w:r>
    </w:p>
    <w:p w14:paraId="4701814A"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1FC9CCE6"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1BC6654E"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25291B55"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350A55FC"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689170AC"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2E9C654E"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p w14:paraId="40E72D9D" w14:textId="77777777" w:rsidR="004C6756" w:rsidRPr="00C32FE7" w:rsidRDefault="004C6756" w:rsidP="004C6756">
      <w:pPr>
        <w:pStyle w:val="ListParagraph"/>
        <w:numPr>
          <w:ilvl w:val="0"/>
          <w:numId w:val="2"/>
        </w:numPr>
        <w:tabs>
          <w:tab w:val="left" w:pos="1461"/>
        </w:tabs>
        <w:spacing w:line="276" w:lineRule="auto"/>
        <w:contextualSpacing/>
        <w:jc w:val="both"/>
        <w:rPr>
          <w:b/>
          <w:bCs/>
          <w:color w:val="2F5496" w:themeColor="accent1" w:themeShade="BF"/>
        </w:rPr>
      </w:pPr>
      <w:r w:rsidRPr="00C32FE7">
        <w:rPr>
          <w:b/>
          <w:bCs/>
          <w:color w:val="2F5496" w:themeColor="accent1" w:themeShade="BF"/>
        </w:rPr>
        <w:t xml:space="preserve">Eligibility </w:t>
      </w:r>
      <w:proofErr w:type="spellStart"/>
      <w:r w:rsidRPr="00C32FE7">
        <w:rPr>
          <w:b/>
          <w:bCs/>
          <w:color w:val="2F5496" w:themeColor="accent1" w:themeShade="BF"/>
        </w:rPr>
        <w:t>Citeria</w:t>
      </w:r>
      <w:proofErr w:type="spellEnd"/>
      <w:r w:rsidRPr="00C32FE7">
        <w:rPr>
          <w:b/>
          <w:bCs/>
          <w:color w:val="2F5496" w:themeColor="accent1" w:themeShade="BF"/>
        </w:rPr>
        <w:t>, Disbursement Linked Results, Disbursement Linked Indicators and attendant grants</w:t>
      </w:r>
    </w:p>
    <w:p w14:paraId="7FCDB66D" w14:textId="77777777" w:rsidR="004C6756" w:rsidRDefault="004C6756" w:rsidP="004C6756">
      <w:pPr>
        <w:tabs>
          <w:tab w:val="left" w:pos="1461"/>
        </w:tabs>
        <w:spacing w:after="0" w:line="276" w:lineRule="auto"/>
        <w:contextualSpacing/>
        <w:jc w:val="both"/>
        <w:rPr>
          <w:rFonts w:ascii="Candara" w:eastAsia="Candara" w:hAnsi="Candara" w:cs="Candara"/>
          <w:lang w:bidi="en-US"/>
        </w:rPr>
      </w:pPr>
    </w:p>
    <w:tbl>
      <w:tblPr>
        <w:tblStyle w:val="TableGrid"/>
        <w:tblW w:w="5000" w:type="pct"/>
        <w:tblLook w:val="04A0" w:firstRow="1" w:lastRow="0" w:firstColumn="1" w:lastColumn="0" w:noHBand="0" w:noVBand="1"/>
      </w:tblPr>
      <w:tblGrid>
        <w:gridCol w:w="2704"/>
        <w:gridCol w:w="2703"/>
        <w:gridCol w:w="2703"/>
        <w:gridCol w:w="2703"/>
      </w:tblGrid>
      <w:tr w:rsidR="004C6756" w:rsidRPr="00F66630" w14:paraId="773183AE" w14:textId="77777777" w:rsidTr="00247ACE">
        <w:trPr>
          <w:trHeight w:val="278"/>
          <w:tblHeader/>
        </w:trPr>
        <w:tc>
          <w:tcPr>
            <w:tcW w:w="1250" w:type="pct"/>
            <w:shd w:val="clear" w:color="auto" w:fill="E2EFD9" w:themeFill="accent6" w:themeFillTint="33"/>
          </w:tcPr>
          <w:p w14:paraId="11DC5E00" w14:textId="77777777" w:rsidR="004C6756" w:rsidRPr="00F66630" w:rsidRDefault="004C6756" w:rsidP="00247ACE">
            <w:pPr>
              <w:jc w:val="center"/>
              <w:rPr>
                <w:rFonts w:ascii="Times New Roman" w:hAnsi="Times New Roman" w:cs="Times New Roman"/>
                <w:b/>
                <w:sz w:val="24"/>
                <w:szCs w:val="24"/>
              </w:rPr>
            </w:pPr>
            <w:r w:rsidRPr="00F66630">
              <w:rPr>
                <w:rFonts w:ascii="Times New Roman" w:hAnsi="Times New Roman" w:cs="Times New Roman"/>
                <w:b/>
                <w:sz w:val="24"/>
                <w:szCs w:val="24"/>
              </w:rPr>
              <w:t>Year 1 – 2018</w:t>
            </w:r>
          </w:p>
        </w:tc>
        <w:tc>
          <w:tcPr>
            <w:tcW w:w="1250" w:type="pct"/>
            <w:shd w:val="clear" w:color="auto" w:fill="E2EFD9" w:themeFill="accent6" w:themeFillTint="33"/>
          </w:tcPr>
          <w:p w14:paraId="4E0ED6C7" w14:textId="77777777" w:rsidR="004C6756" w:rsidRPr="00F66630" w:rsidRDefault="004C6756" w:rsidP="00247ACE">
            <w:pPr>
              <w:jc w:val="center"/>
              <w:rPr>
                <w:rFonts w:ascii="Times New Roman" w:hAnsi="Times New Roman" w:cs="Times New Roman"/>
                <w:b/>
                <w:sz w:val="24"/>
                <w:szCs w:val="24"/>
              </w:rPr>
            </w:pPr>
            <w:r w:rsidRPr="00F66630">
              <w:rPr>
                <w:rFonts w:ascii="Times New Roman" w:hAnsi="Times New Roman" w:cs="Times New Roman"/>
                <w:b/>
                <w:sz w:val="24"/>
                <w:szCs w:val="24"/>
              </w:rPr>
              <w:t>Year 2 - 2019</w:t>
            </w:r>
          </w:p>
        </w:tc>
        <w:tc>
          <w:tcPr>
            <w:tcW w:w="1250" w:type="pct"/>
            <w:shd w:val="clear" w:color="auto" w:fill="E2EFD9" w:themeFill="accent6" w:themeFillTint="33"/>
          </w:tcPr>
          <w:p w14:paraId="2A5273A6" w14:textId="77777777" w:rsidR="004C6756" w:rsidRPr="00F66630" w:rsidRDefault="004C6756" w:rsidP="00247ACE">
            <w:pPr>
              <w:jc w:val="center"/>
              <w:rPr>
                <w:rFonts w:ascii="Times New Roman" w:hAnsi="Times New Roman" w:cs="Times New Roman"/>
                <w:b/>
                <w:sz w:val="24"/>
                <w:szCs w:val="24"/>
              </w:rPr>
            </w:pPr>
            <w:r w:rsidRPr="00F66630">
              <w:rPr>
                <w:rFonts w:ascii="Times New Roman" w:hAnsi="Times New Roman" w:cs="Times New Roman"/>
                <w:b/>
                <w:sz w:val="24"/>
                <w:szCs w:val="24"/>
              </w:rPr>
              <w:t>Year 3 - 2020</w:t>
            </w:r>
          </w:p>
        </w:tc>
        <w:tc>
          <w:tcPr>
            <w:tcW w:w="1250" w:type="pct"/>
            <w:shd w:val="clear" w:color="auto" w:fill="E2EFD9" w:themeFill="accent6" w:themeFillTint="33"/>
          </w:tcPr>
          <w:p w14:paraId="382B7B9A" w14:textId="77777777" w:rsidR="004C6756" w:rsidRPr="00F66630" w:rsidRDefault="004C6756" w:rsidP="00247ACE">
            <w:pPr>
              <w:jc w:val="center"/>
              <w:rPr>
                <w:rFonts w:ascii="Times New Roman" w:hAnsi="Times New Roman" w:cs="Times New Roman"/>
                <w:b/>
                <w:sz w:val="24"/>
                <w:szCs w:val="24"/>
              </w:rPr>
            </w:pPr>
            <w:r w:rsidRPr="00F66630">
              <w:rPr>
                <w:rFonts w:ascii="Times New Roman" w:hAnsi="Times New Roman" w:cs="Times New Roman"/>
                <w:b/>
                <w:sz w:val="24"/>
                <w:szCs w:val="24"/>
              </w:rPr>
              <w:t>Year 4 - 2021</w:t>
            </w:r>
          </w:p>
        </w:tc>
      </w:tr>
      <w:tr w:rsidR="004C6756" w:rsidRPr="00F66630" w14:paraId="73E1E776" w14:textId="77777777" w:rsidTr="00247ACE">
        <w:trPr>
          <w:trHeight w:val="458"/>
        </w:trPr>
        <w:tc>
          <w:tcPr>
            <w:tcW w:w="1250" w:type="pct"/>
            <w:shd w:val="clear" w:color="auto" w:fill="F2F2F2" w:themeFill="background1" w:themeFillShade="F2"/>
          </w:tcPr>
          <w:p w14:paraId="4195A804"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 xml:space="preserve">FY19 state budget approved by the State Assembly and published online by end Feb 2019 </w:t>
            </w:r>
          </w:p>
          <w:p w14:paraId="255B7A65" w14:textId="77777777" w:rsidR="004C6756" w:rsidRPr="00F66630" w:rsidRDefault="004C6756" w:rsidP="00247ACE">
            <w:pPr>
              <w:rPr>
                <w:rFonts w:ascii="Times New Roman" w:hAnsi="Times New Roman" w:cs="Times New Roman"/>
                <w:sz w:val="24"/>
                <w:szCs w:val="24"/>
              </w:rPr>
            </w:pPr>
          </w:p>
          <w:p w14:paraId="41733F78" w14:textId="77777777" w:rsidR="004C6756" w:rsidRPr="00F66630" w:rsidRDefault="004C6756" w:rsidP="00247ACE">
            <w:pPr>
              <w:rPr>
                <w:rFonts w:ascii="Times New Roman" w:hAnsi="Times New Roman" w:cs="Times New Roman"/>
                <w:sz w:val="24"/>
                <w:szCs w:val="24"/>
              </w:rPr>
            </w:pPr>
          </w:p>
          <w:p w14:paraId="7D56C312"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lastRenderedPageBreak/>
              <w:t xml:space="preserve">AND </w:t>
            </w:r>
          </w:p>
          <w:p w14:paraId="048679A3" w14:textId="77777777" w:rsidR="004C6756" w:rsidRPr="00F66630" w:rsidRDefault="004C6756" w:rsidP="00247ACE">
            <w:pPr>
              <w:rPr>
                <w:rFonts w:ascii="Times New Roman" w:hAnsi="Times New Roman" w:cs="Times New Roman"/>
                <w:sz w:val="24"/>
                <w:szCs w:val="24"/>
              </w:rPr>
            </w:pPr>
          </w:p>
          <w:p w14:paraId="35F50B80"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FY17 audited financial statement submitted to the State Assembly and published by Dec 2018</w:t>
            </w:r>
          </w:p>
        </w:tc>
        <w:tc>
          <w:tcPr>
            <w:tcW w:w="1250" w:type="pct"/>
            <w:shd w:val="clear" w:color="auto" w:fill="F2F2F2" w:themeFill="background1" w:themeFillShade="F2"/>
          </w:tcPr>
          <w:p w14:paraId="14C70A90"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lastRenderedPageBreak/>
              <w:t>FY20 state budget approved by the State Assembly and published online by end Jan 2020</w:t>
            </w:r>
          </w:p>
          <w:p w14:paraId="32ED00B8" w14:textId="77777777" w:rsidR="004C6756" w:rsidRPr="00F66630" w:rsidRDefault="004C6756" w:rsidP="00247ACE">
            <w:pPr>
              <w:rPr>
                <w:rFonts w:ascii="Times New Roman" w:hAnsi="Times New Roman" w:cs="Times New Roman"/>
                <w:sz w:val="24"/>
                <w:szCs w:val="24"/>
              </w:rPr>
            </w:pPr>
          </w:p>
          <w:p w14:paraId="4941547B" w14:textId="77777777" w:rsidR="004C6756" w:rsidRPr="00F66630" w:rsidRDefault="004C6756" w:rsidP="00247ACE">
            <w:pPr>
              <w:rPr>
                <w:rFonts w:ascii="Times New Roman" w:hAnsi="Times New Roman" w:cs="Times New Roman"/>
                <w:sz w:val="24"/>
                <w:szCs w:val="24"/>
              </w:rPr>
            </w:pPr>
          </w:p>
          <w:p w14:paraId="6A52D104"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lastRenderedPageBreak/>
              <w:t>AND</w:t>
            </w:r>
          </w:p>
          <w:p w14:paraId="06297A99" w14:textId="77777777" w:rsidR="004C6756" w:rsidRPr="00F66630" w:rsidRDefault="004C6756" w:rsidP="00247ACE">
            <w:pPr>
              <w:rPr>
                <w:rFonts w:ascii="Times New Roman" w:hAnsi="Times New Roman" w:cs="Times New Roman"/>
                <w:sz w:val="24"/>
                <w:szCs w:val="24"/>
              </w:rPr>
            </w:pPr>
          </w:p>
          <w:p w14:paraId="0050E187"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FY18 audited financial statement submitted to the State Assembly and published by Sept 2019</w:t>
            </w:r>
          </w:p>
          <w:p w14:paraId="39E8B662" w14:textId="77777777" w:rsidR="004C6756" w:rsidRPr="00F66630" w:rsidRDefault="004C6756" w:rsidP="00247ACE">
            <w:pPr>
              <w:rPr>
                <w:rFonts w:ascii="Times New Roman" w:hAnsi="Times New Roman" w:cs="Times New Roman"/>
                <w:sz w:val="24"/>
                <w:szCs w:val="24"/>
              </w:rPr>
            </w:pPr>
          </w:p>
        </w:tc>
        <w:tc>
          <w:tcPr>
            <w:tcW w:w="1250" w:type="pct"/>
            <w:shd w:val="clear" w:color="auto" w:fill="F2F2F2" w:themeFill="background1" w:themeFillShade="F2"/>
          </w:tcPr>
          <w:p w14:paraId="2FA9AC3D" w14:textId="77777777" w:rsidR="004C6756" w:rsidRPr="00F66630" w:rsidRDefault="004C6756" w:rsidP="00247ACE">
            <w:pPr>
              <w:rPr>
                <w:rFonts w:ascii="Times New Roman" w:hAnsi="Times New Roman" w:cs="Times New Roman"/>
                <w:sz w:val="24"/>
                <w:szCs w:val="24"/>
              </w:rPr>
            </w:pPr>
            <w:bookmarkStart w:id="0" w:name="_Hlk57735013"/>
            <w:r w:rsidRPr="00F66630">
              <w:rPr>
                <w:rFonts w:ascii="Times New Roman" w:hAnsi="Times New Roman" w:cs="Times New Roman"/>
                <w:sz w:val="24"/>
                <w:szCs w:val="24"/>
              </w:rPr>
              <w:lastRenderedPageBreak/>
              <w:t xml:space="preserve">FY21 state budget, prepared under national Chart of Accounts, approved by the State Assembly and published online by end Jan 2021 </w:t>
            </w:r>
          </w:p>
          <w:bookmarkEnd w:id="0"/>
          <w:p w14:paraId="1B4171D6" w14:textId="77777777" w:rsidR="004C6756" w:rsidRPr="00F66630" w:rsidRDefault="004C6756" w:rsidP="00247ACE">
            <w:pPr>
              <w:rPr>
                <w:rFonts w:ascii="Times New Roman" w:hAnsi="Times New Roman" w:cs="Times New Roman"/>
                <w:sz w:val="24"/>
                <w:szCs w:val="24"/>
              </w:rPr>
            </w:pPr>
          </w:p>
          <w:p w14:paraId="38B8D1C5"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AND</w:t>
            </w:r>
          </w:p>
          <w:p w14:paraId="255440CB" w14:textId="77777777" w:rsidR="004C6756" w:rsidRPr="00F66630" w:rsidRDefault="004C6756" w:rsidP="00247ACE">
            <w:pPr>
              <w:rPr>
                <w:rFonts w:ascii="Times New Roman" w:hAnsi="Times New Roman" w:cs="Times New Roman"/>
                <w:sz w:val="24"/>
                <w:szCs w:val="24"/>
              </w:rPr>
            </w:pPr>
          </w:p>
          <w:p w14:paraId="2C467780"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FY19 audited financial statement, prepared in accordance with IPSAS, submitted to the State Assembly and published by Aug 2020</w:t>
            </w:r>
          </w:p>
        </w:tc>
        <w:tc>
          <w:tcPr>
            <w:tcW w:w="1250" w:type="pct"/>
            <w:shd w:val="clear" w:color="auto" w:fill="F2F2F2" w:themeFill="background1" w:themeFillShade="F2"/>
          </w:tcPr>
          <w:p w14:paraId="2663357B"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lastRenderedPageBreak/>
              <w:t xml:space="preserve">FY22 state budget, prepared under national Chart of Accounts, approved by the State Assembly and published online by end Jan 2022 </w:t>
            </w:r>
          </w:p>
          <w:p w14:paraId="47076A34" w14:textId="77777777" w:rsidR="004C6756" w:rsidRPr="00F66630" w:rsidRDefault="004C6756" w:rsidP="00247ACE">
            <w:pPr>
              <w:rPr>
                <w:rFonts w:ascii="Times New Roman" w:hAnsi="Times New Roman" w:cs="Times New Roman"/>
                <w:sz w:val="24"/>
                <w:szCs w:val="24"/>
              </w:rPr>
            </w:pPr>
          </w:p>
          <w:p w14:paraId="0282216A"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AND</w:t>
            </w:r>
          </w:p>
          <w:p w14:paraId="55488EC9" w14:textId="77777777" w:rsidR="004C6756" w:rsidRPr="00F66630" w:rsidRDefault="004C6756" w:rsidP="00247ACE">
            <w:pPr>
              <w:rPr>
                <w:rFonts w:ascii="Times New Roman" w:hAnsi="Times New Roman" w:cs="Times New Roman"/>
                <w:sz w:val="24"/>
                <w:szCs w:val="24"/>
              </w:rPr>
            </w:pPr>
          </w:p>
          <w:p w14:paraId="5B9AA676" w14:textId="77777777" w:rsidR="004C6756" w:rsidRPr="00F66630" w:rsidRDefault="004C6756" w:rsidP="00247ACE">
            <w:pPr>
              <w:rPr>
                <w:rFonts w:ascii="Times New Roman" w:hAnsi="Times New Roman" w:cs="Times New Roman"/>
                <w:sz w:val="24"/>
                <w:szCs w:val="24"/>
              </w:rPr>
            </w:pPr>
            <w:r w:rsidRPr="00F66630">
              <w:rPr>
                <w:rFonts w:ascii="Times New Roman" w:hAnsi="Times New Roman" w:cs="Times New Roman"/>
                <w:sz w:val="24"/>
                <w:szCs w:val="24"/>
              </w:rPr>
              <w:t>FY20 audited financial statement, prepared in accordance with IPSAS, submitted to the State Assembly and published by Jul 2021</w:t>
            </w:r>
          </w:p>
          <w:p w14:paraId="56F0EDDC" w14:textId="77777777" w:rsidR="004C6756" w:rsidRPr="00F66630" w:rsidRDefault="004C6756" w:rsidP="00247ACE">
            <w:pPr>
              <w:rPr>
                <w:rFonts w:ascii="Times New Roman" w:hAnsi="Times New Roman" w:cs="Times New Roman"/>
                <w:sz w:val="24"/>
                <w:szCs w:val="24"/>
              </w:rPr>
            </w:pPr>
          </w:p>
        </w:tc>
      </w:tr>
    </w:tbl>
    <w:p w14:paraId="3C799234" w14:textId="77777777" w:rsidR="004C6756" w:rsidRPr="008A505C" w:rsidRDefault="004C6756" w:rsidP="004C6756">
      <w:pPr>
        <w:tabs>
          <w:tab w:val="left" w:pos="1461"/>
        </w:tabs>
        <w:spacing w:after="0" w:line="276" w:lineRule="auto"/>
        <w:contextualSpacing/>
        <w:jc w:val="both"/>
        <w:rPr>
          <w:rFonts w:ascii="Candara" w:eastAsia="Candara" w:hAnsi="Candara" w:cs="Candara"/>
          <w:lang w:bidi="en-US"/>
        </w:rPr>
      </w:pPr>
    </w:p>
    <w:p w14:paraId="1EEAA3F1" w14:textId="77777777" w:rsidR="004C6756" w:rsidRPr="008A505C" w:rsidRDefault="004C6756" w:rsidP="004C6756">
      <w:pPr>
        <w:tabs>
          <w:tab w:val="left" w:pos="1461"/>
        </w:tabs>
        <w:spacing w:after="0" w:line="276" w:lineRule="auto"/>
        <w:ind w:left="2347"/>
        <w:contextualSpacing/>
        <w:jc w:val="both"/>
        <w:rPr>
          <w:rFonts w:ascii="Times New Roman" w:eastAsia="Times New Roman" w:hAnsi="Times New Roman" w:cs="Times New Roman"/>
          <w:szCs w:val="24"/>
        </w:rPr>
      </w:pPr>
    </w:p>
    <w:p w14:paraId="2AA0203B"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5C013C71"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tbl>
      <w:tblPr>
        <w:tblStyle w:val="TableGrid"/>
        <w:tblW w:w="5000" w:type="pct"/>
        <w:tblLook w:val="04A0" w:firstRow="1" w:lastRow="0" w:firstColumn="1" w:lastColumn="0" w:noHBand="0" w:noVBand="1"/>
      </w:tblPr>
      <w:tblGrid>
        <w:gridCol w:w="1873"/>
        <w:gridCol w:w="2236"/>
        <w:gridCol w:w="2236"/>
        <w:gridCol w:w="2238"/>
        <w:gridCol w:w="2230"/>
      </w:tblGrid>
      <w:tr w:rsidR="004C6756" w:rsidRPr="00767FF8" w14:paraId="59856999" w14:textId="77777777" w:rsidTr="00247ACE">
        <w:trPr>
          <w:trHeight w:val="269"/>
          <w:tblHeader/>
        </w:trPr>
        <w:tc>
          <w:tcPr>
            <w:tcW w:w="866" w:type="pct"/>
            <w:vMerge w:val="restart"/>
            <w:shd w:val="clear" w:color="auto" w:fill="E2EFD9" w:themeFill="accent6" w:themeFillTint="33"/>
          </w:tcPr>
          <w:p w14:paraId="3678A00E" w14:textId="77777777" w:rsidR="004C6756" w:rsidRPr="00767FF8" w:rsidRDefault="004C6756" w:rsidP="00247ACE">
            <w:pPr>
              <w:rPr>
                <w:rFonts w:ascii="Times New Roman" w:hAnsi="Times New Roman" w:cs="Times New Roman"/>
                <w:b/>
                <w:sz w:val="18"/>
                <w:szCs w:val="18"/>
                <w:lang w:val="fr-FR"/>
              </w:rPr>
            </w:pPr>
            <w:bookmarkStart w:id="1" w:name="_Hlk514067054"/>
            <w:r w:rsidRPr="00767FF8">
              <w:rPr>
                <w:rFonts w:ascii="Times New Roman" w:hAnsi="Times New Roman" w:cs="Times New Roman"/>
                <w:b/>
                <w:sz w:val="18"/>
                <w:szCs w:val="18"/>
              </w:rPr>
              <w:t>Disbursement-Linked Indicator</w:t>
            </w:r>
            <w:r w:rsidRPr="00767FF8">
              <w:rPr>
                <w:rFonts w:ascii="Times New Roman" w:hAnsi="Times New Roman" w:cs="Times New Roman"/>
                <w:b/>
                <w:sz w:val="18"/>
                <w:szCs w:val="18"/>
                <w:lang w:val="fr-FR"/>
              </w:rPr>
              <w:t xml:space="preserve"> </w:t>
            </w:r>
          </w:p>
        </w:tc>
        <w:tc>
          <w:tcPr>
            <w:tcW w:w="4134" w:type="pct"/>
            <w:gridSpan w:val="4"/>
            <w:shd w:val="clear" w:color="auto" w:fill="E2EFD9" w:themeFill="accent6" w:themeFillTint="33"/>
          </w:tcPr>
          <w:p w14:paraId="4CA10D3B" w14:textId="77777777" w:rsidR="004C6756" w:rsidRPr="00767FF8" w:rsidRDefault="004C6756" w:rsidP="00247ACE">
            <w:pPr>
              <w:jc w:val="center"/>
              <w:rPr>
                <w:rFonts w:ascii="Times New Roman" w:hAnsi="Times New Roman" w:cs="Times New Roman"/>
                <w:b/>
                <w:sz w:val="18"/>
                <w:szCs w:val="18"/>
              </w:rPr>
            </w:pPr>
            <w:r w:rsidRPr="00767FF8">
              <w:rPr>
                <w:rFonts w:ascii="Times New Roman" w:hAnsi="Times New Roman" w:cs="Times New Roman"/>
                <w:b/>
                <w:sz w:val="18"/>
                <w:szCs w:val="18"/>
              </w:rPr>
              <w:t>Disbursement-Linked Results</w:t>
            </w:r>
          </w:p>
        </w:tc>
      </w:tr>
      <w:tr w:rsidR="004C6756" w:rsidRPr="00767FF8" w14:paraId="7AD687B0" w14:textId="77777777" w:rsidTr="00247ACE">
        <w:trPr>
          <w:trHeight w:val="323"/>
          <w:tblHeader/>
        </w:trPr>
        <w:tc>
          <w:tcPr>
            <w:tcW w:w="866" w:type="pct"/>
            <w:vMerge/>
            <w:shd w:val="clear" w:color="auto" w:fill="E2EFD9" w:themeFill="accent6" w:themeFillTint="33"/>
          </w:tcPr>
          <w:p w14:paraId="6E30F243" w14:textId="77777777" w:rsidR="004C6756" w:rsidRPr="00767FF8" w:rsidRDefault="004C6756" w:rsidP="00247ACE">
            <w:pPr>
              <w:rPr>
                <w:rFonts w:ascii="Times New Roman" w:hAnsi="Times New Roman" w:cs="Times New Roman"/>
                <w:b/>
                <w:sz w:val="18"/>
                <w:szCs w:val="18"/>
              </w:rPr>
            </w:pPr>
          </w:p>
        </w:tc>
        <w:tc>
          <w:tcPr>
            <w:tcW w:w="1034" w:type="pct"/>
            <w:shd w:val="clear" w:color="auto" w:fill="E2EFD9" w:themeFill="accent6" w:themeFillTint="33"/>
          </w:tcPr>
          <w:p w14:paraId="66CAF2D1" w14:textId="77777777" w:rsidR="004C6756" w:rsidRPr="00767FF8" w:rsidRDefault="004C6756" w:rsidP="00247ACE">
            <w:pPr>
              <w:jc w:val="center"/>
              <w:rPr>
                <w:rFonts w:ascii="Times New Roman" w:hAnsi="Times New Roman" w:cs="Times New Roman"/>
                <w:b/>
                <w:sz w:val="18"/>
                <w:szCs w:val="18"/>
              </w:rPr>
            </w:pPr>
            <w:r w:rsidRPr="00767FF8">
              <w:rPr>
                <w:rFonts w:ascii="Times New Roman" w:hAnsi="Times New Roman" w:cs="Times New Roman"/>
                <w:b/>
                <w:sz w:val="18"/>
                <w:szCs w:val="18"/>
              </w:rPr>
              <w:t>Year 1 - 2018</w:t>
            </w:r>
          </w:p>
        </w:tc>
        <w:tc>
          <w:tcPr>
            <w:tcW w:w="1034" w:type="pct"/>
            <w:shd w:val="clear" w:color="auto" w:fill="E2EFD9" w:themeFill="accent6" w:themeFillTint="33"/>
          </w:tcPr>
          <w:p w14:paraId="12D22D25" w14:textId="77777777" w:rsidR="004C6756" w:rsidRPr="00767FF8" w:rsidRDefault="004C6756" w:rsidP="00247ACE">
            <w:pPr>
              <w:jc w:val="center"/>
              <w:rPr>
                <w:rFonts w:ascii="Times New Roman" w:hAnsi="Times New Roman" w:cs="Times New Roman"/>
                <w:b/>
                <w:i/>
                <w:sz w:val="18"/>
                <w:szCs w:val="18"/>
              </w:rPr>
            </w:pPr>
            <w:r w:rsidRPr="00767FF8">
              <w:rPr>
                <w:rFonts w:ascii="Times New Roman" w:hAnsi="Times New Roman" w:cs="Times New Roman"/>
                <w:b/>
                <w:i/>
                <w:sz w:val="18"/>
                <w:szCs w:val="18"/>
              </w:rPr>
              <w:t>Year 2 – 2019</w:t>
            </w:r>
          </w:p>
        </w:tc>
        <w:tc>
          <w:tcPr>
            <w:tcW w:w="1035" w:type="pct"/>
            <w:shd w:val="clear" w:color="auto" w:fill="E2EFD9" w:themeFill="accent6" w:themeFillTint="33"/>
          </w:tcPr>
          <w:p w14:paraId="241AA987" w14:textId="77777777" w:rsidR="004C6756" w:rsidRPr="00767FF8" w:rsidRDefault="004C6756" w:rsidP="00247ACE">
            <w:pPr>
              <w:jc w:val="center"/>
              <w:rPr>
                <w:rFonts w:ascii="Times New Roman" w:hAnsi="Times New Roman" w:cs="Times New Roman"/>
                <w:b/>
                <w:i/>
                <w:sz w:val="18"/>
                <w:szCs w:val="18"/>
              </w:rPr>
            </w:pPr>
            <w:r w:rsidRPr="00767FF8">
              <w:rPr>
                <w:rFonts w:ascii="Times New Roman" w:hAnsi="Times New Roman" w:cs="Times New Roman"/>
                <w:b/>
                <w:i/>
                <w:sz w:val="18"/>
                <w:szCs w:val="18"/>
              </w:rPr>
              <w:t>Year 3 – 2020</w:t>
            </w:r>
          </w:p>
        </w:tc>
        <w:tc>
          <w:tcPr>
            <w:tcW w:w="1031" w:type="pct"/>
            <w:shd w:val="clear" w:color="auto" w:fill="E2EFD9" w:themeFill="accent6" w:themeFillTint="33"/>
          </w:tcPr>
          <w:p w14:paraId="2DE665A7" w14:textId="77777777" w:rsidR="004C6756" w:rsidRPr="00767FF8" w:rsidRDefault="004C6756" w:rsidP="00247ACE">
            <w:pPr>
              <w:jc w:val="center"/>
              <w:rPr>
                <w:rFonts w:ascii="Times New Roman" w:hAnsi="Times New Roman" w:cs="Times New Roman"/>
                <w:b/>
                <w:i/>
                <w:sz w:val="18"/>
                <w:szCs w:val="18"/>
              </w:rPr>
            </w:pPr>
            <w:r w:rsidRPr="00767FF8">
              <w:rPr>
                <w:rFonts w:ascii="Times New Roman" w:hAnsi="Times New Roman" w:cs="Times New Roman"/>
                <w:b/>
                <w:i/>
                <w:sz w:val="18"/>
                <w:szCs w:val="18"/>
              </w:rPr>
              <w:t>Year 4 – 2021</w:t>
            </w:r>
          </w:p>
        </w:tc>
      </w:tr>
      <w:tr w:rsidR="004C6756" w:rsidRPr="00767FF8" w:rsidDel="00B13515" w14:paraId="7E8D357A" w14:textId="77777777" w:rsidTr="00247ACE">
        <w:trPr>
          <w:trHeight w:val="620"/>
        </w:trPr>
        <w:tc>
          <w:tcPr>
            <w:tcW w:w="866" w:type="pct"/>
          </w:tcPr>
          <w:p w14:paraId="13206AD8"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sz w:val="18"/>
                <w:szCs w:val="18"/>
              </w:rPr>
              <w:t>DLI 1: Improved financial reporting and budget reliability</w:t>
            </w:r>
          </w:p>
          <w:p w14:paraId="5DAF9657" w14:textId="77777777" w:rsidR="004C6756" w:rsidRPr="00767FF8" w:rsidRDefault="004C6756" w:rsidP="00247ACE">
            <w:pPr>
              <w:rPr>
                <w:rFonts w:ascii="Times New Roman" w:hAnsi="Times New Roman" w:cs="Times New Roman"/>
                <w:sz w:val="18"/>
                <w:szCs w:val="18"/>
              </w:rPr>
            </w:pPr>
          </w:p>
          <w:p w14:paraId="34277873" w14:textId="77777777" w:rsidR="004C6756" w:rsidRPr="00767FF8" w:rsidRDefault="004C6756" w:rsidP="00247ACE">
            <w:pPr>
              <w:rPr>
                <w:rFonts w:ascii="Times New Roman" w:hAnsi="Times New Roman" w:cs="Times New Roman"/>
                <w:sz w:val="18"/>
                <w:szCs w:val="18"/>
              </w:rPr>
            </w:pPr>
          </w:p>
          <w:p w14:paraId="69449C61" w14:textId="77777777" w:rsidR="004C6756" w:rsidRPr="00767FF8" w:rsidRDefault="004C6756" w:rsidP="00247ACE">
            <w:pPr>
              <w:jc w:val="right"/>
              <w:rPr>
                <w:rFonts w:ascii="Times New Roman" w:hAnsi="Times New Roman" w:cs="Times New Roman"/>
                <w:sz w:val="18"/>
                <w:szCs w:val="18"/>
              </w:rPr>
            </w:pPr>
          </w:p>
        </w:tc>
        <w:tc>
          <w:tcPr>
            <w:tcW w:w="1034" w:type="pct"/>
          </w:tcPr>
          <w:p w14:paraId="083035D2"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1.1 FY18 quarterly budget implementation reports published on average within 6 weeks of quarter-end to enable timely budget management                </w:t>
            </w:r>
          </w:p>
          <w:p w14:paraId="3C8D6114"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1.2 FY18 deviation for total budget expenditure is &lt; 30%</w:t>
            </w:r>
          </w:p>
        </w:tc>
        <w:tc>
          <w:tcPr>
            <w:tcW w:w="1034" w:type="pct"/>
          </w:tcPr>
          <w:p w14:paraId="16D2010D"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1.1 FY19 quarterly budget implementation reports published on average within 6 weeks of quarter end to enable timely budget management</w:t>
            </w:r>
          </w:p>
          <w:p w14:paraId="117F1FD3"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1.2 FY19 deviation for total budget expenditure is &lt; 25%</w:t>
            </w:r>
          </w:p>
        </w:tc>
        <w:tc>
          <w:tcPr>
            <w:tcW w:w="1035" w:type="pct"/>
          </w:tcPr>
          <w:p w14:paraId="54F49BCC"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1.1 FY20 quarterly budget implementation reports published with Q2, Q3 and Q4 reports published on average within 4 weeks of quarter end to enable timely budget management</w:t>
            </w:r>
          </w:p>
          <w:p w14:paraId="4709B926"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1.2 FY20 deviation for total Amended budget expenditure is &lt; 15%</w:t>
            </w:r>
          </w:p>
        </w:tc>
        <w:tc>
          <w:tcPr>
            <w:tcW w:w="1031" w:type="pct"/>
          </w:tcPr>
          <w:p w14:paraId="5B10D10D"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1.1 FY21 quarterly budget implementation reports published on average within 4 weeks of quarter end to enable timely budget management</w:t>
            </w:r>
          </w:p>
          <w:p w14:paraId="2F30CF4B" w14:textId="77777777" w:rsidR="004C6756" w:rsidRPr="00767FF8" w:rsidDel="00B13515"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1.2 FY21 deviation for total budget expenditure is &lt; 15%</w:t>
            </w:r>
          </w:p>
        </w:tc>
      </w:tr>
      <w:tr w:rsidR="004C6756" w:rsidRPr="00767FF8" w14:paraId="2895914A" w14:textId="77777777" w:rsidTr="00247ACE">
        <w:trPr>
          <w:trHeight w:val="251"/>
        </w:trPr>
        <w:tc>
          <w:tcPr>
            <w:tcW w:w="866" w:type="pct"/>
            <w:shd w:val="clear" w:color="auto" w:fill="FFFFFF" w:themeFill="background1"/>
            <w:vAlign w:val="center"/>
          </w:tcPr>
          <w:p w14:paraId="0A49833B"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1.1 value</w:t>
            </w:r>
          </w:p>
        </w:tc>
        <w:tc>
          <w:tcPr>
            <w:tcW w:w="1034" w:type="pct"/>
            <w:shd w:val="clear" w:color="auto" w:fill="FFFFFF" w:themeFill="background1"/>
          </w:tcPr>
          <w:p w14:paraId="413C364A"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c>
          <w:tcPr>
            <w:tcW w:w="1034" w:type="pct"/>
            <w:shd w:val="clear" w:color="auto" w:fill="FFFFFF" w:themeFill="background1"/>
          </w:tcPr>
          <w:p w14:paraId="3DFB9624"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c>
          <w:tcPr>
            <w:tcW w:w="1035" w:type="pct"/>
            <w:shd w:val="clear" w:color="auto" w:fill="FFFFFF" w:themeFill="background1"/>
          </w:tcPr>
          <w:p w14:paraId="77BBB413"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w:t>
            </w:r>
            <w:r>
              <w:rPr>
                <w:rFonts w:ascii="Times New Roman" w:hAnsi="Times New Roman" w:cs="Times New Roman"/>
                <w:i/>
                <w:color w:val="C00000"/>
                <w:sz w:val="18"/>
                <w:szCs w:val="18"/>
              </w:rPr>
              <w:t xml:space="preserve">    </w:t>
            </w:r>
            <w:r w:rsidRPr="00767FF8">
              <w:rPr>
                <w:rFonts w:ascii="Times New Roman" w:hAnsi="Times New Roman" w:cs="Times New Roman"/>
                <w:i/>
                <w:color w:val="C00000"/>
                <w:sz w:val="18"/>
                <w:szCs w:val="18"/>
              </w:rPr>
              <w:t>.3m per state</w:t>
            </w:r>
          </w:p>
        </w:tc>
        <w:tc>
          <w:tcPr>
            <w:tcW w:w="1031" w:type="pct"/>
            <w:shd w:val="clear" w:color="auto" w:fill="FFFFFF" w:themeFill="background1"/>
          </w:tcPr>
          <w:p w14:paraId="76F8244D"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r>
      <w:tr w:rsidR="004C6756" w:rsidRPr="00767FF8" w14:paraId="41109CDF" w14:textId="77777777" w:rsidTr="00247ACE">
        <w:trPr>
          <w:trHeight w:val="332"/>
        </w:trPr>
        <w:tc>
          <w:tcPr>
            <w:tcW w:w="866" w:type="pct"/>
            <w:shd w:val="clear" w:color="auto" w:fill="FFFFFF" w:themeFill="background1"/>
            <w:vAlign w:val="center"/>
          </w:tcPr>
          <w:p w14:paraId="0CF38C58"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1.2 value</w:t>
            </w:r>
          </w:p>
        </w:tc>
        <w:tc>
          <w:tcPr>
            <w:tcW w:w="1034" w:type="pct"/>
            <w:shd w:val="clear" w:color="auto" w:fill="FFFFFF" w:themeFill="background1"/>
          </w:tcPr>
          <w:p w14:paraId="765BB1E1"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c>
          <w:tcPr>
            <w:tcW w:w="1034" w:type="pct"/>
            <w:shd w:val="clear" w:color="auto" w:fill="FFFFFF" w:themeFill="background1"/>
          </w:tcPr>
          <w:p w14:paraId="36C4017F"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c>
          <w:tcPr>
            <w:tcW w:w="1035" w:type="pct"/>
            <w:shd w:val="clear" w:color="auto" w:fill="FFFFFF" w:themeFill="background1"/>
          </w:tcPr>
          <w:p w14:paraId="187A2940"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c>
          <w:tcPr>
            <w:tcW w:w="1031" w:type="pct"/>
            <w:shd w:val="clear" w:color="auto" w:fill="FFFFFF" w:themeFill="background1"/>
          </w:tcPr>
          <w:p w14:paraId="218D3400"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r>
      <w:tr w:rsidR="004C6756" w:rsidRPr="00767FF8" w14:paraId="1EE205F8" w14:textId="77777777" w:rsidTr="00247ACE">
        <w:trPr>
          <w:trHeight w:val="458"/>
        </w:trPr>
        <w:tc>
          <w:tcPr>
            <w:tcW w:w="866" w:type="pct"/>
            <w:shd w:val="clear" w:color="auto" w:fill="F2F2F2" w:themeFill="background1" w:themeFillShade="F2"/>
          </w:tcPr>
          <w:p w14:paraId="355EEBAF"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sz w:val="18"/>
                <w:szCs w:val="18"/>
              </w:rPr>
              <w:t>DLI 2 Increased openness and citizens’ engagement in the budget process</w:t>
            </w:r>
          </w:p>
        </w:tc>
        <w:tc>
          <w:tcPr>
            <w:tcW w:w="1034" w:type="pct"/>
            <w:shd w:val="clear" w:color="auto" w:fill="F2F2F2" w:themeFill="background1" w:themeFillShade="F2"/>
          </w:tcPr>
          <w:p w14:paraId="158455CB"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2.1 Citizens’ inputs from formal public consultations are published online, along with the proposed FY19 budget</w:t>
            </w:r>
          </w:p>
          <w:p w14:paraId="10DC0F96" w14:textId="77777777" w:rsidR="004C6756" w:rsidRPr="00767FF8" w:rsidRDefault="004C6756" w:rsidP="00247ACE">
            <w:pPr>
              <w:spacing w:after="120"/>
              <w:rPr>
                <w:rFonts w:ascii="Times New Roman" w:hAnsi="Times New Roman" w:cs="Times New Roman"/>
                <w:sz w:val="18"/>
                <w:szCs w:val="18"/>
              </w:rPr>
            </w:pPr>
          </w:p>
        </w:tc>
        <w:tc>
          <w:tcPr>
            <w:tcW w:w="1034" w:type="pct"/>
            <w:shd w:val="clear" w:color="auto" w:fill="F2F2F2" w:themeFill="background1" w:themeFillShade="F2"/>
          </w:tcPr>
          <w:p w14:paraId="654EA1DD"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2.1 Citizens’ inputs from formal public consultations are published online, along with the proposed FY20 budget</w:t>
            </w:r>
          </w:p>
          <w:p w14:paraId="14A49A37"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2.2 Citizens’ budget based on approved FY19 state budget published online by end April 2019</w:t>
            </w:r>
          </w:p>
          <w:p w14:paraId="09BCFE49" w14:textId="77777777" w:rsidR="004C6756" w:rsidRPr="00767FF8" w:rsidRDefault="004C6756" w:rsidP="00247ACE">
            <w:pPr>
              <w:spacing w:after="120"/>
              <w:rPr>
                <w:rFonts w:ascii="Times New Roman" w:hAnsi="Times New Roman" w:cs="Times New Roman"/>
                <w:sz w:val="18"/>
                <w:szCs w:val="18"/>
              </w:rPr>
            </w:pPr>
          </w:p>
        </w:tc>
        <w:tc>
          <w:tcPr>
            <w:tcW w:w="1035" w:type="pct"/>
            <w:shd w:val="clear" w:color="auto" w:fill="F2F2F2" w:themeFill="background1" w:themeFillShade="F2"/>
          </w:tcPr>
          <w:p w14:paraId="3273E2E1"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2.1 Citizens’ inputs from formal public consultations are published online, along with the proposed FY21 budget </w:t>
            </w:r>
          </w:p>
          <w:p w14:paraId="22D39999"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2.2 Evidence of dissemination event to explain amendments to FY2020 State budget published online along with the Citizens’ budget based on Amended FY2020 State budget by end September 2020 with functional online feedback mechanisms</w:t>
            </w:r>
          </w:p>
        </w:tc>
        <w:tc>
          <w:tcPr>
            <w:tcW w:w="1031" w:type="pct"/>
            <w:shd w:val="clear" w:color="auto" w:fill="F2F2F2" w:themeFill="background1" w:themeFillShade="F2"/>
          </w:tcPr>
          <w:p w14:paraId="2AB83D7A"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2.1 Citizens’ inputs from formal public consultations are published online, along with the proposed FY22 budget </w:t>
            </w:r>
          </w:p>
          <w:p w14:paraId="791B4251"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AND Citizens’ budget based on approved FY21 state budget published online by end April 2021 with functional online feedback mechanisms </w:t>
            </w:r>
          </w:p>
          <w:p w14:paraId="25CC04D4"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2.2 Citizens accountability report based on audited financial statements/reports published online for FY20 no later than end Sept 2021</w:t>
            </w:r>
          </w:p>
        </w:tc>
      </w:tr>
      <w:tr w:rsidR="004C6756" w:rsidRPr="00767FF8" w14:paraId="7D0EB510" w14:textId="77777777" w:rsidTr="00247ACE">
        <w:trPr>
          <w:trHeight w:val="251"/>
        </w:trPr>
        <w:tc>
          <w:tcPr>
            <w:tcW w:w="866" w:type="pct"/>
            <w:shd w:val="clear" w:color="auto" w:fill="F2F2F2" w:themeFill="background1" w:themeFillShade="F2"/>
            <w:vAlign w:val="center"/>
          </w:tcPr>
          <w:p w14:paraId="600BC379"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2.1 value</w:t>
            </w:r>
          </w:p>
        </w:tc>
        <w:tc>
          <w:tcPr>
            <w:tcW w:w="1034" w:type="pct"/>
            <w:shd w:val="clear" w:color="auto" w:fill="F2F2F2" w:themeFill="background1" w:themeFillShade="F2"/>
          </w:tcPr>
          <w:p w14:paraId="3E56E4A1"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c>
          <w:tcPr>
            <w:tcW w:w="1034" w:type="pct"/>
            <w:shd w:val="clear" w:color="auto" w:fill="F2F2F2" w:themeFill="background1" w:themeFillShade="F2"/>
          </w:tcPr>
          <w:p w14:paraId="268DCF01"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$0.3m per state</w:t>
            </w:r>
          </w:p>
        </w:tc>
        <w:tc>
          <w:tcPr>
            <w:tcW w:w="1035" w:type="pct"/>
            <w:shd w:val="clear" w:color="auto" w:fill="F2F2F2" w:themeFill="background1" w:themeFillShade="F2"/>
          </w:tcPr>
          <w:p w14:paraId="294B1D06"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c>
          <w:tcPr>
            <w:tcW w:w="1031" w:type="pct"/>
            <w:shd w:val="clear" w:color="auto" w:fill="F2F2F2" w:themeFill="background1" w:themeFillShade="F2"/>
          </w:tcPr>
          <w:p w14:paraId="41A549D8"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$0.5m per state</w:t>
            </w:r>
          </w:p>
        </w:tc>
      </w:tr>
      <w:tr w:rsidR="004C6756" w:rsidRPr="00767FF8" w14:paraId="473423F8" w14:textId="77777777" w:rsidTr="00247ACE">
        <w:trPr>
          <w:trHeight w:val="332"/>
        </w:trPr>
        <w:tc>
          <w:tcPr>
            <w:tcW w:w="866" w:type="pct"/>
            <w:shd w:val="clear" w:color="auto" w:fill="F2F2F2" w:themeFill="background1" w:themeFillShade="F2"/>
            <w:vAlign w:val="center"/>
          </w:tcPr>
          <w:p w14:paraId="38451F99"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2.2 value</w:t>
            </w:r>
          </w:p>
        </w:tc>
        <w:tc>
          <w:tcPr>
            <w:tcW w:w="1034" w:type="pct"/>
            <w:shd w:val="clear" w:color="auto" w:fill="F2F2F2" w:themeFill="background1" w:themeFillShade="F2"/>
          </w:tcPr>
          <w:p w14:paraId="4EDA02ED"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N/A</w:t>
            </w:r>
          </w:p>
        </w:tc>
        <w:tc>
          <w:tcPr>
            <w:tcW w:w="1034" w:type="pct"/>
            <w:shd w:val="clear" w:color="auto" w:fill="F2F2F2" w:themeFill="background1" w:themeFillShade="F2"/>
          </w:tcPr>
          <w:p w14:paraId="1CAF2FD7"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c>
          <w:tcPr>
            <w:tcW w:w="1035" w:type="pct"/>
            <w:shd w:val="clear" w:color="auto" w:fill="F2F2F2" w:themeFill="background1" w:themeFillShade="F2"/>
          </w:tcPr>
          <w:p w14:paraId="07CB1A9C"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$0.5m per state</w:t>
            </w:r>
          </w:p>
        </w:tc>
        <w:tc>
          <w:tcPr>
            <w:tcW w:w="1031" w:type="pct"/>
            <w:shd w:val="clear" w:color="auto" w:fill="F2F2F2" w:themeFill="background1" w:themeFillShade="F2"/>
          </w:tcPr>
          <w:p w14:paraId="15C87B70"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$0.3m per state</w:t>
            </w:r>
          </w:p>
        </w:tc>
      </w:tr>
      <w:tr w:rsidR="004C6756" w:rsidRPr="00767FF8" w:rsidDel="0024341A" w14:paraId="40075085" w14:textId="77777777" w:rsidTr="00247ACE">
        <w:trPr>
          <w:trHeight w:val="638"/>
        </w:trPr>
        <w:tc>
          <w:tcPr>
            <w:tcW w:w="866" w:type="pct"/>
            <w:shd w:val="clear" w:color="auto" w:fill="auto"/>
          </w:tcPr>
          <w:p w14:paraId="3654C859"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sz w:val="18"/>
                <w:szCs w:val="18"/>
              </w:rPr>
              <w:t xml:space="preserve">DLI 3: </w:t>
            </w:r>
            <w:r w:rsidRPr="00767FF8">
              <w:rPr>
                <w:rFonts w:ascii="Times New Roman" w:hAnsi="Times New Roman" w:cs="Times New Roman"/>
                <w:b/>
                <w:bCs/>
                <w:color w:val="000000"/>
                <w:sz w:val="18"/>
                <w:szCs w:val="18"/>
              </w:rPr>
              <w:t>Improved cash management and reduced revenue leakages through implementation of State TSA</w:t>
            </w:r>
          </w:p>
        </w:tc>
        <w:tc>
          <w:tcPr>
            <w:tcW w:w="1034" w:type="pct"/>
            <w:shd w:val="clear" w:color="auto" w:fill="auto"/>
          </w:tcPr>
          <w:p w14:paraId="6D96BD58"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TSA, based on a formally approved cash management strategy, established and functional, and covering a minimum of 50 percent of state government finances</w:t>
            </w:r>
          </w:p>
        </w:tc>
        <w:tc>
          <w:tcPr>
            <w:tcW w:w="1034" w:type="pct"/>
            <w:shd w:val="clear" w:color="auto" w:fill="auto"/>
          </w:tcPr>
          <w:p w14:paraId="4AEACFF4"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TSA, based on a formally approved cash management strategy, established and functional, and covering a minimum of 60 percent of state government finances.</w:t>
            </w:r>
          </w:p>
        </w:tc>
        <w:tc>
          <w:tcPr>
            <w:tcW w:w="1035" w:type="pct"/>
            <w:shd w:val="clear" w:color="auto" w:fill="auto"/>
          </w:tcPr>
          <w:p w14:paraId="2D38AE91"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TSA, based on a formally approved cash management strategy, established and functional, and covering a minimum of 70 percent of state government finances.</w:t>
            </w:r>
          </w:p>
        </w:tc>
        <w:tc>
          <w:tcPr>
            <w:tcW w:w="1031" w:type="pct"/>
            <w:shd w:val="clear" w:color="auto" w:fill="auto"/>
          </w:tcPr>
          <w:p w14:paraId="728DABDE" w14:textId="77777777" w:rsidR="004C6756" w:rsidRPr="00767FF8" w:rsidDel="0024341A"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TSA, based on a formally approved cash management strategy, established and functional, and covering a minimum of 80 percent of state government finances.</w:t>
            </w:r>
          </w:p>
        </w:tc>
      </w:tr>
      <w:tr w:rsidR="004C6756" w:rsidRPr="00767FF8" w14:paraId="43714355" w14:textId="77777777" w:rsidTr="00247ACE">
        <w:trPr>
          <w:trHeight w:val="269"/>
        </w:trPr>
        <w:tc>
          <w:tcPr>
            <w:tcW w:w="866" w:type="pct"/>
            <w:shd w:val="clear" w:color="auto" w:fill="FFFFFF" w:themeFill="background1"/>
          </w:tcPr>
          <w:p w14:paraId="73A8D54E" w14:textId="77777777" w:rsidR="004C6756" w:rsidRPr="00767FF8" w:rsidRDefault="004C6756" w:rsidP="00247ACE">
            <w:pPr>
              <w:pStyle w:val="ListParagraph"/>
              <w:ind w:left="0"/>
              <w:rPr>
                <w:rFonts w:ascii="Times New Roman" w:hAnsi="Times New Roman" w:cs="Times New Roman"/>
                <w:i/>
                <w:sz w:val="18"/>
                <w:szCs w:val="18"/>
              </w:rPr>
            </w:pPr>
            <w:r w:rsidRPr="00767FF8">
              <w:rPr>
                <w:rFonts w:ascii="Times New Roman" w:hAnsi="Times New Roman" w:cs="Times New Roman"/>
                <w:i/>
                <w:color w:val="C00000"/>
                <w:sz w:val="18"/>
                <w:szCs w:val="18"/>
              </w:rPr>
              <w:lastRenderedPageBreak/>
              <w:t>DLR 3 value</w:t>
            </w:r>
          </w:p>
        </w:tc>
        <w:tc>
          <w:tcPr>
            <w:tcW w:w="1034" w:type="pct"/>
            <w:shd w:val="clear" w:color="auto" w:fill="FFFFFF" w:themeFill="background1"/>
          </w:tcPr>
          <w:p w14:paraId="2F0C0D1E" w14:textId="77777777" w:rsidR="004C6756" w:rsidRPr="00767FF8" w:rsidRDefault="004C6756" w:rsidP="00247ACE">
            <w:pPr>
              <w:spacing w:after="120"/>
              <w:rPr>
                <w:rFonts w:ascii="Times New Roman" w:hAnsi="Times New Roman" w:cs="Times New Roman"/>
                <w:b/>
                <w:sz w:val="18"/>
                <w:szCs w:val="18"/>
              </w:rPr>
            </w:pPr>
            <w:r w:rsidRPr="00767FF8">
              <w:rPr>
                <w:rFonts w:ascii="Times New Roman" w:hAnsi="Times New Roman" w:cs="Times New Roman"/>
                <w:bCs/>
                <w:i/>
                <w:color w:val="C00000"/>
                <w:sz w:val="18"/>
                <w:szCs w:val="18"/>
              </w:rPr>
              <w:t>$1.5m per state</w:t>
            </w:r>
          </w:p>
        </w:tc>
        <w:tc>
          <w:tcPr>
            <w:tcW w:w="1034" w:type="pct"/>
            <w:shd w:val="clear" w:color="auto" w:fill="FFFFFF" w:themeFill="background1"/>
          </w:tcPr>
          <w:p w14:paraId="7C60146E" w14:textId="77777777" w:rsidR="004C6756" w:rsidRPr="00767FF8" w:rsidRDefault="004C6756" w:rsidP="00247ACE">
            <w:pPr>
              <w:spacing w:after="120"/>
              <w:rPr>
                <w:rFonts w:ascii="Times New Roman" w:hAnsi="Times New Roman" w:cs="Times New Roman"/>
                <w:b/>
                <w:sz w:val="18"/>
                <w:szCs w:val="18"/>
              </w:rPr>
            </w:pPr>
            <w:r w:rsidRPr="00767FF8">
              <w:rPr>
                <w:rFonts w:ascii="Times New Roman" w:hAnsi="Times New Roman" w:cs="Times New Roman"/>
                <w:bCs/>
                <w:i/>
                <w:color w:val="C00000"/>
                <w:sz w:val="18"/>
                <w:szCs w:val="18"/>
              </w:rPr>
              <w:t>$1.5m per state</w:t>
            </w:r>
          </w:p>
        </w:tc>
        <w:tc>
          <w:tcPr>
            <w:tcW w:w="1035" w:type="pct"/>
            <w:shd w:val="clear" w:color="auto" w:fill="FFFFFF" w:themeFill="background1"/>
          </w:tcPr>
          <w:p w14:paraId="0CFCCCAE" w14:textId="77777777" w:rsidR="004C6756" w:rsidRPr="00767FF8" w:rsidRDefault="004C6756" w:rsidP="00247ACE">
            <w:pPr>
              <w:spacing w:after="120"/>
              <w:rPr>
                <w:rFonts w:ascii="Times New Roman" w:hAnsi="Times New Roman" w:cs="Times New Roman"/>
                <w:b/>
                <w:sz w:val="18"/>
                <w:szCs w:val="18"/>
              </w:rPr>
            </w:pPr>
            <w:r w:rsidRPr="00767FF8">
              <w:rPr>
                <w:rFonts w:ascii="Times New Roman" w:hAnsi="Times New Roman" w:cs="Times New Roman"/>
                <w:bCs/>
                <w:i/>
                <w:color w:val="C00000"/>
                <w:sz w:val="18"/>
                <w:szCs w:val="18"/>
              </w:rPr>
              <w:t>$1.5m per state</w:t>
            </w:r>
          </w:p>
        </w:tc>
        <w:tc>
          <w:tcPr>
            <w:tcW w:w="1031" w:type="pct"/>
            <w:shd w:val="clear" w:color="auto" w:fill="FFFFFF" w:themeFill="background1"/>
          </w:tcPr>
          <w:p w14:paraId="5944E77B" w14:textId="77777777" w:rsidR="004C6756" w:rsidRPr="00767FF8" w:rsidRDefault="004C6756" w:rsidP="00247ACE">
            <w:pPr>
              <w:spacing w:after="120"/>
              <w:rPr>
                <w:rFonts w:ascii="Times New Roman" w:hAnsi="Times New Roman" w:cs="Times New Roman"/>
                <w:b/>
                <w:sz w:val="18"/>
                <w:szCs w:val="18"/>
              </w:rPr>
            </w:pPr>
            <w:r w:rsidRPr="00767FF8">
              <w:rPr>
                <w:rFonts w:ascii="Times New Roman" w:hAnsi="Times New Roman" w:cs="Times New Roman"/>
                <w:bCs/>
                <w:i/>
                <w:color w:val="C00000"/>
                <w:sz w:val="18"/>
                <w:szCs w:val="18"/>
              </w:rPr>
              <w:t>$1.5m per state</w:t>
            </w:r>
          </w:p>
        </w:tc>
      </w:tr>
      <w:tr w:rsidR="004C6756" w:rsidRPr="00767FF8" w:rsidDel="0024341A" w14:paraId="0EFC0801" w14:textId="77777777" w:rsidTr="00247ACE">
        <w:trPr>
          <w:trHeight w:val="764"/>
        </w:trPr>
        <w:tc>
          <w:tcPr>
            <w:tcW w:w="866" w:type="pct"/>
            <w:vMerge w:val="restart"/>
            <w:shd w:val="clear" w:color="auto" w:fill="F2F2F2" w:themeFill="background1" w:themeFillShade="F2"/>
          </w:tcPr>
          <w:p w14:paraId="6B30F210"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sz w:val="18"/>
                <w:szCs w:val="18"/>
              </w:rPr>
              <w:t>DLI 4: Strengthened Internally Generated Revenue (IGR) collection</w:t>
            </w:r>
          </w:p>
        </w:tc>
        <w:tc>
          <w:tcPr>
            <w:tcW w:w="4134" w:type="pct"/>
            <w:gridSpan w:val="4"/>
            <w:shd w:val="clear" w:color="auto" w:fill="F2F2F2" w:themeFill="background1" w:themeFillShade="F2"/>
          </w:tcPr>
          <w:p w14:paraId="4FC33604" w14:textId="77777777" w:rsidR="004C6756" w:rsidRPr="00767FF8" w:rsidDel="0024341A" w:rsidRDefault="004C6756" w:rsidP="00247ACE">
            <w:pPr>
              <w:rPr>
                <w:rFonts w:ascii="Times New Roman" w:eastAsia="Calibri" w:hAnsi="Times New Roman" w:cs="Times New Roman"/>
                <w:i/>
                <w:sz w:val="18"/>
                <w:szCs w:val="18"/>
              </w:rPr>
            </w:pPr>
            <w:r w:rsidRPr="00767FF8">
              <w:rPr>
                <w:rFonts w:ascii="Times New Roman" w:hAnsi="Times New Roman"/>
                <w:sz w:val="18"/>
                <w:szCs w:val="18"/>
              </w:rPr>
              <w:t xml:space="preserve">4.1 State implementing a consolidated state revenue code covering all state IGR sources and </w:t>
            </w:r>
            <w:r w:rsidRPr="00767FF8">
              <w:rPr>
                <w:rFonts w:ascii="Times New Roman" w:hAnsi="Times New Roman"/>
                <w:color w:val="000000"/>
                <w:sz w:val="18"/>
                <w:szCs w:val="18"/>
              </w:rPr>
              <w:t xml:space="preserve">stipulating that the state bureau of internal revenue is the sole agency responsible for state revenue collection and accounting. Code must be </w:t>
            </w:r>
            <w:r w:rsidRPr="00767FF8">
              <w:rPr>
                <w:rFonts w:ascii="Times New Roman" w:hAnsi="Times New Roman"/>
                <w:sz w:val="18"/>
                <w:szCs w:val="18"/>
              </w:rPr>
              <w:t xml:space="preserve">approved by the state legislature and published. </w:t>
            </w:r>
            <w:r w:rsidRPr="00767FF8">
              <w:rPr>
                <w:rFonts w:ascii="Times New Roman" w:hAnsi="Times New Roman"/>
                <w:i/>
                <w:sz w:val="18"/>
                <w:szCs w:val="18"/>
              </w:rPr>
              <w:t>(one-time payment for year in which DLR is first achieved, up to end of 2021)</w:t>
            </w:r>
          </w:p>
        </w:tc>
      </w:tr>
      <w:tr w:rsidR="004C6756" w:rsidRPr="00767FF8" w:rsidDel="0024341A" w14:paraId="15B3E59F" w14:textId="77777777" w:rsidTr="00247ACE">
        <w:trPr>
          <w:trHeight w:val="494"/>
        </w:trPr>
        <w:tc>
          <w:tcPr>
            <w:tcW w:w="866" w:type="pct"/>
            <w:vMerge/>
            <w:shd w:val="clear" w:color="auto" w:fill="F2F2F2" w:themeFill="background1" w:themeFillShade="F2"/>
          </w:tcPr>
          <w:p w14:paraId="75CBCBF4" w14:textId="77777777" w:rsidR="004C6756" w:rsidRPr="00767FF8" w:rsidRDefault="004C6756" w:rsidP="00247ACE">
            <w:pPr>
              <w:pStyle w:val="ListParagraph"/>
              <w:ind w:left="0"/>
              <w:rPr>
                <w:rFonts w:ascii="Times New Roman" w:hAnsi="Times New Roman" w:cs="Times New Roman"/>
                <w:b/>
                <w:sz w:val="18"/>
                <w:szCs w:val="18"/>
              </w:rPr>
            </w:pPr>
          </w:p>
        </w:tc>
        <w:tc>
          <w:tcPr>
            <w:tcW w:w="1034" w:type="pct"/>
            <w:shd w:val="clear" w:color="auto" w:fill="F2F2F2" w:themeFill="background1" w:themeFillShade="F2"/>
          </w:tcPr>
          <w:p w14:paraId="265C3552"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4.2 2018-2017 annual nominal IGR growth rate meets target:</w:t>
            </w:r>
            <w:r w:rsidRPr="00767FF8">
              <w:rPr>
                <w:rFonts w:ascii="Times New Roman" w:hAnsi="Times New Roman" w:cs="Times New Roman"/>
                <w:sz w:val="18"/>
                <w:szCs w:val="18"/>
              </w:rPr>
              <w:br/>
            </w:r>
            <w:r w:rsidRPr="00767FF8">
              <w:rPr>
                <w:rFonts w:ascii="Times New Roman" w:hAnsi="Times New Roman" w:cs="Times New Roman"/>
                <w:b/>
                <w:sz w:val="18"/>
                <w:szCs w:val="18"/>
              </w:rPr>
              <w:t>Basic target</w:t>
            </w:r>
            <w:r w:rsidRPr="00767FF8">
              <w:rPr>
                <w:rFonts w:ascii="Times New Roman" w:hAnsi="Times New Roman" w:cs="Times New Roman"/>
                <w:sz w:val="18"/>
                <w:szCs w:val="18"/>
              </w:rPr>
              <w:t>: 20%-39%</w:t>
            </w:r>
            <w:r w:rsidRPr="00767FF8">
              <w:rPr>
                <w:rFonts w:ascii="Times New Roman" w:hAnsi="Times New Roman" w:cs="Times New Roman"/>
                <w:sz w:val="18"/>
                <w:szCs w:val="18"/>
              </w:rPr>
              <w:br/>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40% or more</w:t>
            </w:r>
          </w:p>
        </w:tc>
        <w:tc>
          <w:tcPr>
            <w:tcW w:w="1034" w:type="pct"/>
            <w:shd w:val="clear" w:color="auto" w:fill="F2F2F2" w:themeFill="background1" w:themeFillShade="F2"/>
          </w:tcPr>
          <w:p w14:paraId="3A7650FF"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4.2 2019-2018 annual nominal IGR growth rate meets target:</w:t>
            </w:r>
            <w:r w:rsidRPr="00767FF8">
              <w:rPr>
                <w:rFonts w:ascii="Times New Roman" w:hAnsi="Times New Roman" w:cs="Times New Roman"/>
                <w:sz w:val="18"/>
                <w:szCs w:val="18"/>
              </w:rPr>
              <w:br/>
              <w:t>-</w:t>
            </w:r>
            <w:r w:rsidRPr="00767FF8">
              <w:rPr>
                <w:rFonts w:ascii="Times New Roman" w:hAnsi="Times New Roman" w:cs="Times New Roman"/>
                <w:b/>
                <w:sz w:val="18"/>
                <w:szCs w:val="18"/>
              </w:rPr>
              <w:t>Basic target</w:t>
            </w:r>
            <w:r w:rsidRPr="00767FF8">
              <w:rPr>
                <w:rFonts w:ascii="Times New Roman" w:hAnsi="Times New Roman" w:cs="Times New Roman"/>
                <w:sz w:val="18"/>
                <w:szCs w:val="18"/>
              </w:rPr>
              <w:t>: 20%-39%</w:t>
            </w:r>
            <w:r w:rsidRPr="00767FF8">
              <w:rPr>
                <w:rFonts w:ascii="Times New Roman" w:hAnsi="Times New Roman" w:cs="Times New Roman"/>
                <w:sz w:val="18"/>
                <w:szCs w:val="18"/>
              </w:rPr>
              <w:br/>
              <w:t>-</w:t>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40% or more</w:t>
            </w:r>
          </w:p>
        </w:tc>
        <w:tc>
          <w:tcPr>
            <w:tcW w:w="1035" w:type="pct"/>
            <w:shd w:val="clear" w:color="auto" w:fill="F2F2F2" w:themeFill="background1" w:themeFillShade="F2"/>
          </w:tcPr>
          <w:p w14:paraId="680E280B"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4.2 2020 nominal IGR collection is equal to or higher than the 2019 nominal IGR collection</w:t>
            </w:r>
          </w:p>
        </w:tc>
        <w:tc>
          <w:tcPr>
            <w:tcW w:w="1031" w:type="pct"/>
            <w:shd w:val="clear" w:color="auto" w:fill="F2F2F2" w:themeFill="background1" w:themeFillShade="F2"/>
          </w:tcPr>
          <w:p w14:paraId="02230CEF" w14:textId="77777777" w:rsidR="004C6756" w:rsidRPr="00767FF8" w:rsidDel="0024341A" w:rsidRDefault="004C6756" w:rsidP="00247ACE">
            <w:pPr>
              <w:rPr>
                <w:rFonts w:ascii="Times New Roman" w:hAnsi="Times New Roman" w:cs="Times New Roman"/>
                <w:b/>
                <w:sz w:val="18"/>
                <w:szCs w:val="18"/>
              </w:rPr>
            </w:pPr>
            <w:r w:rsidRPr="00767FF8">
              <w:rPr>
                <w:rFonts w:ascii="Times New Roman" w:hAnsi="Times New Roman" w:cs="Times New Roman"/>
                <w:sz w:val="18"/>
                <w:szCs w:val="18"/>
              </w:rPr>
              <w:t>4.2 2021-2020 annual nominal IGR growth rate meets target:</w:t>
            </w:r>
            <w:r w:rsidRPr="00767FF8">
              <w:rPr>
                <w:rFonts w:ascii="Times New Roman" w:hAnsi="Times New Roman" w:cs="Times New Roman"/>
                <w:sz w:val="18"/>
                <w:szCs w:val="18"/>
              </w:rPr>
              <w:br/>
              <w:t>-</w:t>
            </w:r>
            <w:r w:rsidRPr="00767FF8">
              <w:rPr>
                <w:rFonts w:ascii="Times New Roman" w:hAnsi="Times New Roman" w:cs="Times New Roman"/>
                <w:b/>
                <w:sz w:val="18"/>
                <w:szCs w:val="18"/>
              </w:rPr>
              <w:t>Basic target</w:t>
            </w:r>
            <w:r w:rsidRPr="00767FF8">
              <w:rPr>
                <w:rFonts w:ascii="Times New Roman" w:hAnsi="Times New Roman" w:cs="Times New Roman"/>
                <w:sz w:val="18"/>
                <w:szCs w:val="18"/>
              </w:rPr>
              <w:t>: 20%-39%</w:t>
            </w:r>
            <w:r w:rsidRPr="00767FF8">
              <w:rPr>
                <w:rFonts w:ascii="Times New Roman" w:hAnsi="Times New Roman" w:cs="Times New Roman"/>
                <w:sz w:val="18"/>
                <w:szCs w:val="18"/>
              </w:rPr>
              <w:br/>
              <w:t>-</w:t>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40% or more</w:t>
            </w:r>
          </w:p>
        </w:tc>
      </w:tr>
      <w:tr w:rsidR="004C6756" w:rsidRPr="00767FF8" w14:paraId="6A471103" w14:textId="77777777" w:rsidTr="00247ACE">
        <w:trPr>
          <w:trHeight w:val="332"/>
        </w:trPr>
        <w:tc>
          <w:tcPr>
            <w:tcW w:w="866" w:type="pct"/>
            <w:shd w:val="clear" w:color="auto" w:fill="F2F2F2" w:themeFill="background1" w:themeFillShade="F2"/>
          </w:tcPr>
          <w:p w14:paraId="317CD277" w14:textId="77777777" w:rsidR="004C6756" w:rsidRPr="00767FF8" w:rsidRDefault="004C6756" w:rsidP="00247ACE">
            <w:pPr>
              <w:pStyle w:val="ListParagraph"/>
              <w:ind w:left="0"/>
              <w:rPr>
                <w:rFonts w:ascii="Times New Roman" w:hAnsi="Times New Roman" w:cs="Times New Roman"/>
                <w:i/>
                <w:color w:val="C00000"/>
                <w:sz w:val="18"/>
                <w:szCs w:val="18"/>
              </w:rPr>
            </w:pPr>
            <w:r>
              <w:rPr>
                <w:rFonts w:ascii="Times New Roman" w:hAnsi="Times New Roman" w:cs="Times New Roman"/>
                <w:i/>
                <w:color w:val="C00000"/>
                <w:sz w:val="18"/>
                <w:szCs w:val="18"/>
              </w:rPr>
              <w:t xml:space="preserve">        </w:t>
            </w:r>
            <w:r w:rsidRPr="00767FF8">
              <w:rPr>
                <w:rFonts w:ascii="Times New Roman" w:hAnsi="Times New Roman" w:cs="Times New Roman"/>
                <w:i/>
                <w:color w:val="C00000"/>
                <w:sz w:val="18"/>
                <w:szCs w:val="18"/>
              </w:rPr>
              <w:t>DLR 4.1 value</w:t>
            </w:r>
          </w:p>
        </w:tc>
        <w:tc>
          <w:tcPr>
            <w:tcW w:w="1034" w:type="pct"/>
            <w:shd w:val="clear" w:color="auto" w:fill="F2F2F2" w:themeFill="background1" w:themeFillShade="F2"/>
          </w:tcPr>
          <w:p w14:paraId="1CA2F793"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$2m per state</w:t>
            </w:r>
          </w:p>
        </w:tc>
        <w:tc>
          <w:tcPr>
            <w:tcW w:w="1034" w:type="pct"/>
            <w:shd w:val="clear" w:color="auto" w:fill="F2F2F2" w:themeFill="background1" w:themeFillShade="F2"/>
          </w:tcPr>
          <w:p w14:paraId="33007BCC"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bCs/>
                <w:i/>
                <w:color w:val="C00000"/>
                <w:sz w:val="18"/>
                <w:szCs w:val="18"/>
              </w:rPr>
              <w:t>$2m per state</w:t>
            </w:r>
          </w:p>
        </w:tc>
        <w:tc>
          <w:tcPr>
            <w:tcW w:w="1035" w:type="pct"/>
            <w:shd w:val="clear" w:color="auto" w:fill="F2F2F2" w:themeFill="background1" w:themeFillShade="F2"/>
          </w:tcPr>
          <w:p w14:paraId="349A2032"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bCs/>
                <w:i/>
                <w:color w:val="C00000"/>
                <w:sz w:val="18"/>
                <w:szCs w:val="18"/>
              </w:rPr>
              <w:t>$2m per state</w:t>
            </w:r>
          </w:p>
        </w:tc>
        <w:tc>
          <w:tcPr>
            <w:tcW w:w="1031" w:type="pct"/>
            <w:shd w:val="clear" w:color="auto" w:fill="F2F2F2" w:themeFill="background1" w:themeFillShade="F2"/>
          </w:tcPr>
          <w:p w14:paraId="17D1E4E6"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bCs/>
                <w:i/>
                <w:color w:val="C00000"/>
                <w:sz w:val="18"/>
                <w:szCs w:val="18"/>
              </w:rPr>
              <w:t>$2m per state</w:t>
            </w:r>
            <w:r>
              <w:rPr>
                <w:rFonts w:ascii="Times New Roman" w:hAnsi="Times New Roman" w:cs="Times New Roman"/>
                <w:bCs/>
                <w:i/>
                <w:color w:val="C00000"/>
                <w:sz w:val="18"/>
                <w:szCs w:val="18"/>
              </w:rPr>
              <w:t xml:space="preserve">   </w:t>
            </w:r>
          </w:p>
        </w:tc>
      </w:tr>
      <w:tr w:rsidR="004C6756" w:rsidRPr="00767FF8" w14:paraId="0206B163" w14:textId="77777777" w:rsidTr="00247ACE">
        <w:trPr>
          <w:trHeight w:val="377"/>
        </w:trPr>
        <w:tc>
          <w:tcPr>
            <w:tcW w:w="866" w:type="pct"/>
            <w:shd w:val="clear" w:color="auto" w:fill="F2F2F2" w:themeFill="background1" w:themeFillShade="F2"/>
            <w:vAlign w:val="center"/>
          </w:tcPr>
          <w:p w14:paraId="4364888A" w14:textId="77777777" w:rsidR="004C6756" w:rsidRPr="00767FF8" w:rsidRDefault="004C6756" w:rsidP="00247ACE">
            <w:pPr>
              <w:pStyle w:val="ListParagraph"/>
              <w:ind w:left="0"/>
              <w:rPr>
                <w:rFonts w:ascii="Times New Roman" w:hAnsi="Times New Roman" w:cs="Times New Roman"/>
                <w:i/>
                <w:color w:val="C00000"/>
                <w:sz w:val="18"/>
                <w:szCs w:val="18"/>
              </w:rPr>
            </w:pPr>
            <w:r>
              <w:rPr>
                <w:rFonts w:ascii="Times New Roman" w:hAnsi="Times New Roman" w:cs="Times New Roman"/>
                <w:i/>
                <w:color w:val="C00000"/>
                <w:sz w:val="18"/>
                <w:szCs w:val="18"/>
              </w:rPr>
              <w:t xml:space="preserve">       </w:t>
            </w:r>
            <w:r w:rsidRPr="00767FF8">
              <w:rPr>
                <w:rFonts w:ascii="Times New Roman" w:hAnsi="Times New Roman" w:cs="Times New Roman"/>
                <w:i/>
                <w:color w:val="C00000"/>
                <w:sz w:val="18"/>
                <w:szCs w:val="18"/>
              </w:rPr>
              <w:t>DLR 4.2 Basic value</w:t>
            </w:r>
          </w:p>
        </w:tc>
        <w:tc>
          <w:tcPr>
            <w:tcW w:w="1034" w:type="pct"/>
            <w:shd w:val="clear" w:color="auto" w:fill="F2F2F2" w:themeFill="background1" w:themeFillShade="F2"/>
            <w:vAlign w:val="center"/>
          </w:tcPr>
          <w:p w14:paraId="02D6F7EB"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c>
          <w:tcPr>
            <w:tcW w:w="1034" w:type="pct"/>
            <w:shd w:val="clear" w:color="auto" w:fill="F2F2F2" w:themeFill="background1" w:themeFillShade="F2"/>
            <w:vAlign w:val="center"/>
          </w:tcPr>
          <w:p w14:paraId="0BF1A76D"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c>
          <w:tcPr>
            <w:tcW w:w="1035" w:type="pct"/>
            <w:shd w:val="clear" w:color="auto" w:fill="F2F2F2" w:themeFill="background1" w:themeFillShade="F2"/>
            <w:vAlign w:val="center"/>
          </w:tcPr>
          <w:p w14:paraId="50B0A4CA"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N/A</w:t>
            </w:r>
          </w:p>
        </w:tc>
        <w:tc>
          <w:tcPr>
            <w:tcW w:w="1031" w:type="pct"/>
            <w:shd w:val="clear" w:color="auto" w:fill="F2F2F2" w:themeFill="background1" w:themeFillShade="F2"/>
            <w:vAlign w:val="center"/>
          </w:tcPr>
          <w:p w14:paraId="23AEBFF4"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r>
      <w:tr w:rsidR="004C6756" w:rsidRPr="00767FF8" w14:paraId="53799D74" w14:textId="77777777" w:rsidTr="00247ACE">
        <w:trPr>
          <w:trHeight w:val="440"/>
        </w:trPr>
        <w:tc>
          <w:tcPr>
            <w:tcW w:w="866" w:type="pct"/>
            <w:shd w:val="clear" w:color="auto" w:fill="F2F2F2" w:themeFill="background1" w:themeFillShade="F2"/>
            <w:vAlign w:val="center"/>
          </w:tcPr>
          <w:p w14:paraId="55CFC9DA" w14:textId="77777777" w:rsidR="004C6756" w:rsidRPr="00767FF8" w:rsidRDefault="004C6756" w:rsidP="00247ACE">
            <w:pPr>
              <w:pStyle w:val="ListParagraph"/>
              <w:ind w:left="0"/>
              <w:rPr>
                <w:rFonts w:ascii="Times New Roman" w:hAnsi="Times New Roman" w:cs="Times New Roman"/>
                <w:i/>
                <w:color w:val="C00000"/>
                <w:sz w:val="18"/>
                <w:szCs w:val="18"/>
              </w:rPr>
            </w:pPr>
            <w:r>
              <w:rPr>
                <w:rFonts w:ascii="Times New Roman" w:hAnsi="Times New Roman" w:cs="Times New Roman"/>
                <w:i/>
                <w:color w:val="C00000"/>
                <w:sz w:val="18"/>
                <w:szCs w:val="18"/>
              </w:rPr>
              <w:t xml:space="preserve">      </w:t>
            </w:r>
            <w:r w:rsidRPr="00767FF8">
              <w:rPr>
                <w:rFonts w:ascii="Times New Roman" w:hAnsi="Times New Roman" w:cs="Times New Roman"/>
                <w:i/>
                <w:color w:val="C00000"/>
                <w:sz w:val="18"/>
                <w:szCs w:val="18"/>
              </w:rPr>
              <w:t>DLR 4.2 Stretch value</w:t>
            </w:r>
          </w:p>
        </w:tc>
        <w:tc>
          <w:tcPr>
            <w:tcW w:w="1034" w:type="pct"/>
            <w:shd w:val="clear" w:color="auto" w:fill="F2F2F2" w:themeFill="background1" w:themeFillShade="F2"/>
            <w:vAlign w:val="center"/>
          </w:tcPr>
          <w:p w14:paraId="1F7F9474"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$2m per state</w:t>
            </w:r>
          </w:p>
        </w:tc>
        <w:tc>
          <w:tcPr>
            <w:tcW w:w="1034" w:type="pct"/>
            <w:shd w:val="clear" w:color="auto" w:fill="F2F2F2" w:themeFill="background1" w:themeFillShade="F2"/>
            <w:vAlign w:val="center"/>
          </w:tcPr>
          <w:p w14:paraId="7C6EF1F7"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$2m per state</w:t>
            </w:r>
          </w:p>
        </w:tc>
        <w:tc>
          <w:tcPr>
            <w:tcW w:w="1035" w:type="pct"/>
            <w:shd w:val="clear" w:color="auto" w:fill="F2F2F2" w:themeFill="background1" w:themeFillShade="F2"/>
            <w:vAlign w:val="center"/>
          </w:tcPr>
          <w:p w14:paraId="47458A0A"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$2m per state</w:t>
            </w:r>
          </w:p>
        </w:tc>
        <w:tc>
          <w:tcPr>
            <w:tcW w:w="1031" w:type="pct"/>
            <w:shd w:val="clear" w:color="auto" w:fill="F2F2F2" w:themeFill="background1" w:themeFillShade="F2"/>
            <w:vAlign w:val="center"/>
          </w:tcPr>
          <w:p w14:paraId="51CD7E78"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$2m per state</w:t>
            </w:r>
          </w:p>
        </w:tc>
      </w:tr>
      <w:tr w:rsidR="004C6756" w:rsidRPr="00767FF8" w:rsidDel="0024341A" w14:paraId="51DC71F0" w14:textId="77777777" w:rsidTr="00247ACE">
        <w:trPr>
          <w:trHeight w:val="521"/>
        </w:trPr>
        <w:tc>
          <w:tcPr>
            <w:tcW w:w="866" w:type="pct"/>
            <w:shd w:val="clear" w:color="auto" w:fill="FFFFFF" w:themeFill="background1"/>
          </w:tcPr>
          <w:p w14:paraId="7B9A5F80"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sz w:val="18"/>
                <w:szCs w:val="18"/>
              </w:rPr>
              <w:t>DLI 5: Biometric registration and bank verification number (BVN) used to reduce payroll fraud</w:t>
            </w:r>
          </w:p>
        </w:tc>
        <w:tc>
          <w:tcPr>
            <w:tcW w:w="1034" w:type="pct"/>
            <w:shd w:val="clear" w:color="auto" w:fill="FFFFFF" w:themeFill="background1"/>
          </w:tcPr>
          <w:p w14:paraId="6C4EB512"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5.1 Biometric capture of at least 60 percent of current civil servants completed and linked to payroll, and identified ghost workers taken off the payroll </w:t>
            </w:r>
          </w:p>
          <w:p w14:paraId="2285723F" w14:textId="77777777" w:rsidR="004C6756" w:rsidRPr="00767FF8" w:rsidRDefault="004C6756" w:rsidP="00247ACE">
            <w:pPr>
              <w:rPr>
                <w:rFonts w:ascii="Times New Roman" w:hAnsi="Times New Roman" w:cs="Times New Roman"/>
                <w:sz w:val="18"/>
                <w:szCs w:val="18"/>
              </w:rPr>
            </w:pPr>
          </w:p>
          <w:p w14:paraId="747C945B"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5.2 Link BVN data to at least 60 percent of current civil servants on the payroll and payroll fraud addressed</w:t>
            </w:r>
          </w:p>
        </w:tc>
        <w:tc>
          <w:tcPr>
            <w:tcW w:w="1034" w:type="pct"/>
            <w:shd w:val="clear" w:color="auto" w:fill="FFFFFF" w:themeFill="background1"/>
          </w:tcPr>
          <w:p w14:paraId="6A544D1C"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5.1 Biometric capture of at least 75 percent of current civil servants and pensioners completed and linked to payroll, and identified ghost workers taken off the payroll </w:t>
            </w:r>
          </w:p>
          <w:p w14:paraId="3F1F144C" w14:textId="77777777" w:rsidR="004C6756" w:rsidRPr="00767FF8" w:rsidRDefault="004C6756" w:rsidP="00247ACE">
            <w:pPr>
              <w:rPr>
                <w:rFonts w:ascii="Times New Roman" w:hAnsi="Times New Roman" w:cs="Times New Roman"/>
                <w:sz w:val="18"/>
                <w:szCs w:val="18"/>
              </w:rPr>
            </w:pPr>
          </w:p>
          <w:p w14:paraId="265A7B62"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5.2 Link BVN data to at least 75 percent of current civil servants and pensioners on the payroll and payroll fraud addressed</w:t>
            </w:r>
          </w:p>
        </w:tc>
        <w:tc>
          <w:tcPr>
            <w:tcW w:w="1035" w:type="pct"/>
            <w:shd w:val="clear" w:color="auto" w:fill="FFFFFF" w:themeFill="background1"/>
          </w:tcPr>
          <w:p w14:paraId="783C14EC"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5.1 Biometric capture of at least 90 percent of current civil servants and pensioners completed and linked to payroll, and identified ghost workers taken off the payroll </w:t>
            </w:r>
          </w:p>
          <w:p w14:paraId="33FB9606" w14:textId="77777777" w:rsidR="004C6756" w:rsidRPr="00767FF8" w:rsidRDefault="004C6756" w:rsidP="00247ACE">
            <w:pPr>
              <w:rPr>
                <w:rFonts w:ascii="Times New Roman" w:hAnsi="Times New Roman" w:cs="Times New Roman"/>
                <w:sz w:val="18"/>
                <w:szCs w:val="18"/>
              </w:rPr>
            </w:pPr>
          </w:p>
          <w:p w14:paraId="55B73A6C"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5.2 Link BVN data to at least 90 percent of current civil servants and pensioners on the payroll and payroll fraud addressed </w:t>
            </w:r>
          </w:p>
        </w:tc>
        <w:tc>
          <w:tcPr>
            <w:tcW w:w="1031" w:type="pct"/>
            <w:shd w:val="clear" w:color="auto" w:fill="auto"/>
          </w:tcPr>
          <w:p w14:paraId="71491DB1"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5.1 Biometric capture of at least 95 percent of current civil servants and pensioners completed and linked to payroll, and identified ghost workers taken off the payroll </w:t>
            </w:r>
          </w:p>
          <w:p w14:paraId="1D05150D" w14:textId="77777777" w:rsidR="004C6756" w:rsidRPr="00767FF8" w:rsidRDefault="004C6756" w:rsidP="00247ACE">
            <w:pPr>
              <w:rPr>
                <w:rFonts w:ascii="Times New Roman" w:hAnsi="Times New Roman" w:cs="Times New Roman"/>
                <w:sz w:val="18"/>
                <w:szCs w:val="18"/>
              </w:rPr>
            </w:pPr>
          </w:p>
          <w:p w14:paraId="6705500A" w14:textId="77777777" w:rsidR="004C6756" w:rsidRPr="00767FF8" w:rsidDel="0024341A"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5.2 Link BVN data to at least 95 percent of current civil servants and pensioners on the payroll and payroll fraud addressed</w:t>
            </w:r>
          </w:p>
        </w:tc>
      </w:tr>
      <w:tr w:rsidR="004C6756" w:rsidRPr="00767FF8" w14:paraId="4C117684" w14:textId="77777777" w:rsidTr="00247ACE">
        <w:trPr>
          <w:trHeight w:val="251"/>
        </w:trPr>
        <w:tc>
          <w:tcPr>
            <w:tcW w:w="866" w:type="pct"/>
            <w:shd w:val="clear" w:color="auto" w:fill="FFFFFF" w:themeFill="background1"/>
          </w:tcPr>
          <w:p w14:paraId="110BEA05" w14:textId="77777777" w:rsidR="004C6756" w:rsidRPr="00767FF8" w:rsidRDefault="004C6756" w:rsidP="00247ACE">
            <w:pPr>
              <w:pStyle w:val="ListParagraph"/>
              <w:ind w:left="0"/>
              <w:rPr>
                <w:rFonts w:ascii="Times New Roman" w:hAnsi="Times New Roman" w:cs="Times New Roman"/>
                <w:i/>
                <w:color w:val="C00000"/>
                <w:sz w:val="18"/>
                <w:szCs w:val="18"/>
              </w:rPr>
            </w:pPr>
            <w:bookmarkStart w:id="2" w:name="_Hlk509773894"/>
            <w:r w:rsidRPr="00767FF8">
              <w:rPr>
                <w:rFonts w:ascii="Times New Roman" w:hAnsi="Times New Roman" w:cs="Times New Roman"/>
                <w:i/>
                <w:color w:val="C00000"/>
                <w:sz w:val="18"/>
                <w:szCs w:val="18"/>
              </w:rPr>
              <w:t>DLR 5.1 value</w:t>
            </w:r>
          </w:p>
        </w:tc>
        <w:tc>
          <w:tcPr>
            <w:tcW w:w="1034" w:type="pct"/>
            <w:shd w:val="clear" w:color="auto" w:fill="FFFFFF" w:themeFill="background1"/>
          </w:tcPr>
          <w:p w14:paraId="111D6F87"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$0.5m</w:t>
            </w:r>
          </w:p>
        </w:tc>
        <w:tc>
          <w:tcPr>
            <w:tcW w:w="1034" w:type="pct"/>
            <w:shd w:val="clear" w:color="auto" w:fill="FFFFFF" w:themeFill="background1"/>
          </w:tcPr>
          <w:p w14:paraId="314C39E1"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$0.5m</w:t>
            </w:r>
          </w:p>
        </w:tc>
        <w:tc>
          <w:tcPr>
            <w:tcW w:w="1035" w:type="pct"/>
            <w:shd w:val="clear" w:color="auto" w:fill="FFFFFF" w:themeFill="background1"/>
          </w:tcPr>
          <w:p w14:paraId="54552A2E"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$0.75m</w:t>
            </w:r>
          </w:p>
        </w:tc>
        <w:tc>
          <w:tcPr>
            <w:tcW w:w="1031" w:type="pct"/>
            <w:shd w:val="clear" w:color="auto" w:fill="FFFFFF" w:themeFill="background1"/>
          </w:tcPr>
          <w:p w14:paraId="623FFE73"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$0.75m</w:t>
            </w:r>
          </w:p>
        </w:tc>
      </w:tr>
      <w:tr w:rsidR="004C6756" w:rsidRPr="00767FF8" w14:paraId="3D6E1BE3" w14:textId="77777777" w:rsidTr="00247ACE">
        <w:trPr>
          <w:trHeight w:val="332"/>
        </w:trPr>
        <w:tc>
          <w:tcPr>
            <w:tcW w:w="866" w:type="pct"/>
            <w:shd w:val="clear" w:color="auto" w:fill="FFFFFF" w:themeFill="background1"/>
          </w:tcPr>
          <w:p w14:paraId="54FC7FA4"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5.2 value</w:t>
            </w:r>
          </w:p>
        </w:tc>
        <w:tc>
          <w:tcPr>
            <w:tcW w:w="1034" w:type="pct"/>
            <w:shd w:val="clear" w:color="auto" w:fill="FFFFFF" w:themeFill="background1"/>
          </w:tcPr>
          <w:p w14:paraId="75B9A0AC"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$0.5m</w:t>
            </w:r>
          </w:p>
        </w:tc>
        <w:tc>
          <w:tcPr>
            <w:tcW w:w="1034" w:type="pct"/>
            <w:shd w:val="clear" w:color="auto" w:fill="FFFFFF" w:themeFill="background1"/>
          </w:tcPr>
          <w:p w14:paraId="6D55EE7A"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$0.5m</w:t>
            </w:r>
          </w:p>
        </w:tc>
        <w:tc>
          <w:tcPr>
            <w:tcW w:w="1035" w:type="pct"/>
            <w:shd w:val="clear" w:color="auto" w:fill="FFFFFF" w:themeFill="background1"/>
          </w:tcPr>
          <w:p w14:paraId="14AAB23D"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$0.75m</w:t>
            </w:r>
          </w:p>
        </w:tc>
        <w:tc>
          <w:tcPr>
            <w:tcW w:w="1031" w:type="pct"/>
            <w:shd w:val="clear" w:color="auto" w:fill="FFFFFF" w:themeFill="background1"/>
          </w:tcPr>
          <w:p w14:paraId="738481A2"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i/>
                <w:color w:val="C00000"/>
                <w:sz w:val="18"/>
                <w:szCs w:val="18"/>
              </w:rPr>
              <w:t xml:space="preserve">Per State </w:t>
            </w:r>
            <w:r w:rsidRPr="00767FF8">
              <w:rPr>
                <w:rFonts w:ascii="Times New Roman" w:hAnsi="Times New Roman" w:cs="Times New Roman"/>
                <w:bCs/>
                <w:i/>
                <w:color w:val="C00000"/>
                <w:sz w:val="18"/>
                <w:szCs w:val="18"/>
              </w:rPr>
              <w:t>$0.75m</w:t>
            </w:r>
          </w:p>
        </w:tc>
      </w:tr>
      <w:bookmarkEnd w:id="2"/>
      <w:tr w:rsidR="004C6756" w:rsidRPr="00767FF8" w:rsidDel="0024341A" w14:paraId="6A178D8D" w14:textId="77777777" w:rsidTr="00247ACE">
        <w:trPr>
          <w:trHeight w:val="1151"/>
        </w:trPr>
        <w:tc>
          <w:tcPr>
            <w:tcW w:w="866" w:type="pct"/>
            <w:vMerge w:val="restart"/>
            <w:shd w:val="clear" w:color="auto" w:fill="F2F2F2" w:themeFill="background1" w:themeFillShade="F2"/>
          </w:tcPr>
          <w:p w14:paraId="4430AD01"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eastAsia="Calibri" w:hAnsi="Times New Roman" w:cs="Times New Roman"/>
                <w:b/>
                <w:sz w:val="18"/>
                <w:szCs w:val="18"/>
              </w:rPr>
              <w:t xml:space="preserve">DLI 6: Improved procurement practices for increased transparency and value for money </w:t>
            </w:r>
          </w:p>
        </w:tc>
        <w:tc>
          <w:tcPr>
            <w:tcW w:w="4134" w:type="pct"/>
            <w:gridSpan w:val="4"/>
            <w:shd w:val="clear" w:color="auto" w:fill="F2F2F2" w:themeFill="background1" w:themeFillShade="F2"/>
          </w:tcPr>
          <w:p w14:paraId="1A69DB87" w14:textId="77777777" w:rsidR="004C6756" w:rsidRPr="00767FF8" w:rsidDel="0024341A" w:rsidRDefault="004C6756" w:rsidP="00247ACE">
            <w:pPr>
              <w:spacing w:after="120"/>
              <w:rPr>
                <w:rFonts w:ascii="Times New Roman" w:eastAsia="Calibri" w:hAnsi="Times New Roman" w:cs="Times New Roman"/>
                <w:sz w:val="18"/>
                <w:szCs w:val="18"/>
              </w:rPr>
            </w:pPr>
            <w:r w:rsidRPr="00767FF8">
              <w:rPr>
                <w:rFonts w:ascii="Times New Roman" w:eastAsia="Calibri" w:hAnsi="Times New Roman" w:cs="Times New Roman"/>
                <w:sz w:val="18"/>
                <w:szCs w:val="18"/>
              </w:rPr>
              <w:t xml:space="preserve">6.1 Existence of a public procurement legal framework and procurement regulatory agency. Said legal framework should conform with the UNCITRAL Model Law and provide for: 1) eProcurement; 2) establishment of an independent procurement regulatory agency and 3) cover all MDAs receiving funds from the state budget. </w:t>
            </w:r>
            <w:r w:rsidRPr="00767FF8">
              <w:rPr>
                <w:rFonts w:ascii="Times New Roman" w:eastAsia="Calibri" w:hAnsi="Times New Roman" w:cs="Times New Roman"/>
                <w:i/>
                <w:sz w:val="18"/>
                <w:szCs w:val="18"/>
              </w:rPr>
              <w:t xml:space="preserve">(one-time payment for year in which DLR is first achieved, up to </w:t>
            </w:r>
            <w:r w:rsidRPr="00767FF8">
              <w:rPr>
                <w:rFonts w:ascii="Times New Roman" w:hAnsi="Times New Roman"/>
                <w:i/>
                <w:sz w:val="18"/>
                <w:szCs w:val="18"/>
              </w:rPr>
              <w:t>end of 2021</w:t>
            </w:r>
            <w:r w:rsidRPr="00767FF8">
              <w:rPr>
                <w:rFonts w:ascii="Times New Roman" w:eastAsia="Calibri" w:hAnsi="Times New Roman" w:cs="Times New Roman"/>
                <w:i/>
                <w:sz w:val="18"/>
                <w:szCs w:val="18"/>
              </w:rPr>
              <w:t>)</w:t>
            </w:r>
            <w:r w:rsidRPr="00767FF8" w:rsidDel="00A7790D">
              <w:rPr>
                <w:rFonts w:ascii="Times New Roman" w:eastAsia="Calibri" w:hAnsi="Times New Roman" w:cs="Times New Roman"/>
                <w:sz w:val="18"/>
                <w:szCs w:val="18"/>
              </w:rPr>
              <w:t xml:space="preserve"> </w:t>
            </w:r>
          </w:p>
        </w:tc>
      </w:tr>
      <w:tr w:rsidR="004C6756" w:rsidRPr="00767FF8" w:rsidDel="0024341A" w14:paraId="5010EF96" w14:textId="77777777" w:rsidTr="00247ACE">
        <w:trPr>
          <w:trHeight w:val="728"/>
        </w:trPr>
        <w:tc>
          <w:tcPr>
            <w:tcW w:w="866" w:type="pct"/>
            <w:vMerge/>
            <w:shd w:val="clear" w:color="auto" w:fill="F2F2F2" w:themeFill="background1" w:themeFillShade="F2"/>
          </w:tcPr>
          <w:p w14:paraId="249E4D51" w14:textId="77777777" w:rsidR="004C6756" w:rsidRPr="00767FF8" w:rsidRDefault="004C6756" w:rsidP="00247ACE">
            <w:pPr>
              <w:pStyle w:val="ListParagraph"/>
              <w:ind w:left="0"/>
              <w:rPr>
                <w:rFonts w:ascii="Times New Roman" w:hAnsi="Times New Roman" w:cs="Times New Roman"/>
                <w:b/>
                <w:sz w:val="18"/>
                <w:szCs w:val="18"/>
              </w:rPr>
            </w:pPr>
          </w:p>
        </w:tc>
        <w:tc>
          <w:tcPr>
            <w:tcW w:w="1034" w:type="pct"/>
            <w:shd w:val="clear" w:color="auto" w:fill="F2F2F2" w:themeFill="background1" w:themeFillShade="F2"/>
          </w:tcPr>
          <w:p w14:paraId="6808CFE6" w14:textId="77777777" w:rsidR="004C6756" w:rsidRPr="00767FF8" w:rsidRDefault="004C6756" w:rsidP="00247ACE">
            <w:pPr>
              <w:spacing w:after="120"/>
              <w:rPr>
                <w:rFonts w:ascii="Times New Roman" w:hAnsi="Times New Roman" w:cs="Times New Roman"/>
                <w:sz w:val="18"/>
                <w:szCs w:val="18"/>
              </w:rPr>
            </w:pPr>
            <w:r w:rsidRPr="00767FF8">
              <w:rPr>
                <w:rFonts w:ascii="Times New Roman" w:eastAsia="Calibri" w:hAnsi="Times New Roman" w:cs="Times New Roman"/>
                <w:sz w:val="18"/>
                <w:szCs w:val="18"/>
              </w:rPr>
              <w:t xml:space="preserve">6.2 </w:t>
            </w:r>
            <w:r w:rsidRPr="00767FF8">
              <w:rPr>
                <w:rFonts w:ascii="Times New Roman" w:hAnsi="Times New Roman" w:cs="Times New Roman"/>
                <w:sz w:val="18"/>
                <w:szCs w:val="18"/>
              </w:rPr>
              <w:t>Publish contract award information above a threshold set out in the Operations Manual for 2018 on a monthly basis in OCDS format on the state website</w:t>
            </w:r>
          </w:p>
        </w:tc>
        <w:tc>
          <w:tcPr>
            <w:tcW w:w="1034" w:type="pct"/>
            <w:shd w:val="clear" w:color="auto" w:fill="F2F2F2" w:themeFill="background1" w:themeFillShade="F2"/>
          </w:tcPr>
          <w:p w14:paraId="351CA297" w14:textId="77777777" w:rsidR="004C6756" w:rsidRPr="00767FF8" w:rsidRDefault="004C6756" w:rsidP="00247ACE">
            <w:pPr>
              <w:rPr>
                <w:rFonts w:ascii="Times New Roman" w:eastAsia="Calibri" w:hAnsi="Times New Roman" w:cs="Times New Roman"/>
                <w:sz w:val="18"/>
                <w:szCs w:val="18"/>
              </w:rPr>
            </w:pPr>
            <w:r w:rsidRPr="00767FF8">
              <w:rPr>
                <w:rFonts w:ascii="Times New Roman" w:eastAsia="Calibri" w:hAnsi="Times New Roman" w:cs="Times New Roman"/>
                <w:sz w:val="18"/>
                <w:szCs w:val="18"/>
              </w:rPr>
              <w:t xml:space="preserve">6.2 </w:t>
            </w:r>
            <w:r w:rsidRPr="00767FF8">
              <w:rPr>
                <w:rFonts w:ascii="Times New Roman" w:hAnsi="Times New Roman" w:cs="Times New Roman"/>
                <w:sz w:val="18"/>
                <w:szCs w:val="18"/>
              </w:rPr>
              <w:t>Publish contract award information above a threshold set out in the Operations Manual for 2019 on a monthly basis in OCDS format on the online portal</w:t>
            </w:r>
            <w:r w:rsidRPr="00767FF8" w:rsidDel="00E054DC">
              <w:rPr>
                <w:rFonts w:ascii="Times New Roman" w:hAnsi="Times New Roman" w:cs="Times New Roman"/>
                <w:sz w:val="18"/>
                <w:szCs w:val="18"/>
              </w:rPr>
              <w:t xml:space="preserve"> </w:t>
            </w:r>
          </w:p>
          <w:p w14:paraId="2696543F" w14:textId="77777777" w:rsidR="004C6756" w:rsidRPr="00767FF8" w:rsidRDefault="004C6756" w:rsidP="00247ACE">
            <w:pPr>
              <w:rPr>
                <w:rFonts w:ascii="Times New Roman" w:eastAsia="Calibri" w:hAnsi="Times New Roman" w:cs="Times New Roman"/>
                <w:sz w:val="18"/>
                <w:szCs w:val="18"/>
              </w:rPr>
            </w:pPr>
          </w:p>
          <w:p w14:paraId="702AC31C" w14:textId="77777777" w:rsidR="004C6756" w:rsidRPr="00767FF8" w:rsidRDefault="004C6756" w:rsidP="00247ACE">
            <w:pPr>
              <w:rPr>
                <w:rFonts w:ascii="Times New Roman" w:eastAsia="Calibri" w:hAnsi="Times New Roman" w:cs="Times New Roman"/>
                <w:sz w:val="18"/>
                <w:szCs w:val="18"/>
              </w:rPr>
            </w:pPr>
          </w:p>
        </w:tc>
        <w:tc>
          <w:tcPr>
            <w:tcW w:w="1035" w:type="pct"/>
            <w:shd w:val="clear" w:color="auto" w:fill="F2F2F2" w:themeFill="background1" w:themeFillShade="F2"/>
          </w:tcPr>
          <w:p w14:paraId="338BFB4A" w14:textId="77777777" w:rsidR="004C6756" w:rsidRPr="00767FF8" w:rsidRDefault="004C6756" w:rsidP="00247ACE">
            <w:pPr>
              <w:rPr>
                <w:rFonts w:ascii="Times New Roman" w:hAnsi="Times New Roman" w:cs="Times New Roman"/>
                <w:bCs/>
                <w:iCs/>
                <w:noProof/>
                <w:sz w:val="18"/>
                <w:szCs w:val="18"/>
              </w:rPr>
            </w:pPr>
            <w:r w:rsidRPr="00767FF8">
              <w:rPr>
                <w:rFonts w:ascii="Times New Roman" w:hAnsi="Times New Roman" w:cs="Times New Roman"/>
                <w:bCs/>
                <w:iCs/>
                <w:noProof/>
                <w:sz w:val="18"/>
                <w:szCs w:val="18"/>
              </w:rPr>
              <w:t xml:space="preserve">6.2 </w:t>
            </w:r>
            <w:r w:rsidRPr="00767FF8">
              <w:rPr>
                <w:rFonts w:ascii="Times New Roman" w:hAnsi="Times New Roman" w:cs="Times New Roman"/>
                <w:bCs/>
                <w:iCs/>
                <w:noProof/>
                <w:sz w:val="18"/>
                <w:szCs w:val="18"/>
                <w:u w:val="single"/>
              </w:rPr>
              <w:t>Basic Target:</w:t>
            </w:r>
            <w:r w:rsidRPr="00767FF8">
              <w:rPr>
                <w:rFonts w:ascii="Times New Roman" w:hAnsi="Times New Roman" w:cs="Times New Roman"/>
                <w:bCs/>
                <w:iCs/>
                <w:noProof/>
                <w:sz w:val="18"/>
                <w:szCs w:val="18"/>
              </w:rPr>
              <w:t xml:space="preserve"> Framework contract for e-Procurement signed by 31 December 2020 AND Publish contract award information above a threshold set out in the State’s procurement law/regulation on a monthly basis in OCDS format on the state website or online portal if available. </w:t>
            </w:r>
          </w:p>
          <w:p w14:paraId="1C3411F0" w14:textId="77777777" w:rsidR="004C6756" w:rsidRPr="00767FF8" w:rsidRDefault="004C6756" w:rsidP="00247ACE">
            <w:pPr>
              <w:rPr>
                <w:rFonts w:ascii="Times New Roman" w:hAnsi="Times New Roman" w:cs="Times New Roman"/>
                <w:bCs/>
                <w:iCs/>
                <w:noProof/>
                <w:sz w:val="18"/>
                <w:szCs w:val="18"/>
              </w:rPr>
            </w:pPr>
          </w:p>
          <w:p w14:paraId="14A0E5AE" w14:textId="77777777" w:rsidR="004C6756" w:rsidRPr="00767FF8" w:rsidRDefault="004C6756" w:rsidP="00247ACE">
            <w:pPr>
              <w:rPr>
                <w:rFonts w:ascii="Times New Roman" w:hAnsi="Times New Roman" w:cs="Times New Roman"/>
                <w:bCs/>
                <w:iCs/>
                <w:noProof/>
                <w:sz w:val="18"/>
                <w:szCs w:val="18"/>
              </w:rPr>
            </w:pPr>
            <w:r w:rsidRPr="00767FF8">
              <w:rPr>
                <w:rFonts w:ascii="Times New Roman" w:hAnsi="Times New Roman" w:cs="Times New Roman"/>
                <w:bCs/>
                <w:iCs/>
                <w:noProof/>
                <w:sz w:val="18"/>
                <w:szCs w:val="18"/>
              </w:rPr>
              <w:t xml:space="preserve">6.2 </w:t>
            </w:r>
            <w:r w:rsidRPr="00767FF8">
              <w:rPr>
                <w:rFonts w:ascii="Times New Roman" w:hAnsi="Times New Roman" w:cs="Times New Roman"/>
                <w:bCs/>
                <w:iCs/>
                <w:noProof/>
                <w:sz w:val="18"/>
                <w:szCs w:val="18"/>
                <w:u w:val="single"/>
              </w:rPr>
              <w:t>Stretch Target:</w:t>
            </w:r>
            <w:r w:rsidRPr="00767FF8">
              <w:rPr>
                <w:rFonts w:ascii="Times New Roman" w:hAnsi="Times New Roman" w:cs="Times New Roman"/>
                <w:bCs/>
                <w:iCs/>
                <w:noProof/>
                <w:sz w:val="18"/>
                <w:szCs w:val="18"/>
              </w:rPr>
              <w:t xml:space="preserve"> Implement e-Procurement in at least 3 MDAs (incl. Education, Health and Public Works) and publish all contract award information in OCDS format on the online portal for the 3 MDAs </w:t>
            </w:r>
          </w:p>
          <w:p w14:paraId="7B97EE3E" w14:textId="77777777" w:rsidR="004C6756" w:rsidRPr="00767FF8" w:rsidRDefault="004C6756" w:rsidP="00247ACE">
            <w:pPr>
              <w:rPr>
                <w:rFonts w:ascii="Times New Roman" w:hAnsi="Times New Roman" w:cs="Times New Roman"/>
                <w:bCs/>
                <w:iCs/>
                <w:noProof/>
                <w:sz w:val="18"/>
                <w:szCs w:val="18"/>
              </w:rPr>
            </w:pPr>
            <w:r w:rsidRPr="00767FF8">
              <w:rPr>
                <w:rFonts w:ascii="Times New Roman" w:hAnsi="Times New Roman" w:cs="Times New Roman"/>
                <w:bCs/>
                <w:iCs/>
                <w:noProof/>
                <w:sz w:val="18"/>
                <w:szCs w:val="18"/>
              </w:rPr>
              <w:t xml:space="preserve">AND </w:t>
            </w:r>
          </w:p>
          <w:p w14:paraId="0E9BBCE8"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bCs/>
                <w:i/>
                <w:noProof/>
                <w:sz w:val="18"/>
                <w:szCs w:val="18"/>
              </w:rPr>
              <w:lastRenderedPageBreak/>
              <w:t>For those MDAs without e-procurement:</w:t>
            </w:r>
            <w:r w:rsidRPr="00767FF8">
              <w:rPr>
                <w:rFonts w:ascii="Times New Roman" w:hAnsi="Times New Roman" w:cs="Times New Roman"/>
                <w:bCs/>
                <w:iCs/>
                <w:noProof/>
                <w:sz w:val="18"/>
                <w:szCs w:val="18"/>
              </w:rPr>
              <w:t xml:space="preserve"> Publish contract award information above a threshold set out in the State’s procurement law/regulation on a monthly basis in OCDS format on the state website or online portal if available</w:t>
            </w:r>
          </w:p>
        </w:tc>
        <w:tc>
          <w:tcPr>
            <w:tcW w:w="1031" w:type="pct"/>
            <w:shd w:val="clear" w:color="auto" w:fill="F2F2F2" w:themeFill="background1" w:themeFillShade="F2"/>
          </w:tcPr>
          <w:p w14:paraId="07AAD7D7" w14:textId="77777777" w:rsidR="004C6756" w:rsidRPr="00767FF8" w:rsidRDefault="004C6756" w:rsidP="00247ACE">
            <w:pPr>
              <w:rPr>
                <w:rFonts w:ascii="Times New Roman" w:eastAsia="Calibri" w:hAnsi="Times New Roman" w:cs="Times New Roman"/>
                <w:sz w:val="18"/>
                <w:szCs w:val="18"/>
              </w:rPr>
            </w:pPr>
            <w:r w:rsidRPr="00767FF8">
              <w:rPr>
                <w:rFonts w:ascii="Times New Roman" w:eastAsia="Calibri" w:hAnsi="Times New Roman" w:cs="Times New Roman"/>
                <w:sz w:val="18"/>
                <w:szCs w:val="18"/>
              </w:rPr>
              <w:lastRenderedPageBreak/>
              <w:t>6.2 N</w:t>
            </w:r>
            <w:r w:rsidRPr="00767FF8">
              <w:rPr>
                <w:rFonts w:ascii="Times New Roman" w:hAnsi="Times New Roman"/>
                <w:sz w:val="18"/>
                <w:szCs w:val="18"/>
              </w:rPr>
              <w:t>o later than June 30, 2022, i</w:t>
            </w:r>
            <w:r w:rsidRPr="00767FF8">
              <w:rPr>
                <w:rFonts w:ascii="Times New Roman" w:eastAsia="Calibri" w:hAnsi="Times New Roman" w:cs="Times New Roman"/>
                <w:sz w:val="18"/>
                <w:szCs w:val="18"/>
              </w:rPr>
              <w:t xml:space="preserve">mplement e-procurement in at least 4 MDAs (incl. Education, Health and Public Works) </w:t>
            </w:r>
          </w:p>
          <w:p w14:paraId="4027187D" w14:textId="77777777" w:rsidR="004C6756" w:rsidRPr="00767FF8" w:rsidRDefault="004C6756" w:rsidP="00247ACE">
            <w:pPr>
              <w:rPr>
                <w:rFonts w:ascii="Times New Roman" w:eastAsia="Calibri" w:hAnsi="Times New Roman" w:cs="Times New Roman"/>
                <w:sz w:val="18"/>
                <w:szCs w:val="18"/>
              </w:rPr>
            </w:pPr>
            <w:r w:rsidRPr="00767FF8">
              <w:rPr>
                <w:rFonts w:ascii="Times New Roman" w:eastAsia="Calibri" w:hAnsi="Times New Roman" w:cs="Times New Roman"/>
                <w:sz w:val="18"/>
                <w:szCs w:val="18"/>
              </w:rPr>
              <w:t xml:space="preserve">publish all contract award information in OCDS format on the online portal for the 4 MDAs </w:t>
            </w:r>
          </w:p>
          <w:p w14:paraId="36E354E5" w14:textId="77777777" w:rsidR="004C6756" w:rsidRPr="00767FF8" w:rsidRDefault="004C6756" w:rsidP="00247ACE">
            <w:pPr>
              <w:rPr>
                <w:rFonts w:ascii="Times New Roman" w:eastAsia="Calibri" w:hAnsi="Times New Roman" w:cs="Times New Roman"/>
                <w:sz w:val="18"/>
                <w:szCs w:val="18"/>
              </w:rPr>
            </w:pPr>
          </w:p>
          <w:p w14:paraId="4A3C94BB" w14:textId="77777777" w:rsidR="004C6756" w:rsidRPr="00767FF8" w:rsidRDefault="004C6756" w:rsidP="00247ACE">
            <w:pPr>
              <w:rPr>
                <w:rFonts w:ascii="Times New Roman" w:eastAsia="Calibri" w:hAnsi="Times New Roman" w:cs="Times New Roman"/>
                <w:sz w:val="18"/>
                <w:szCs w:val="18"/>
              </w:rPr>
            </w:pPr>
            <w:r w:rsidRPr="00767FF8">
              <w:rPr>
                <w:rFonts w:ascii="Times New Roman" w:eastAsia="Calibri" w:hAnsi="Times New Roman" w:cs="Times New Roman"/>
                <w:sz w:val="18"/>
                <w:szCs w:val="18"/>
              </w:rPr>
              <w:t>AND</w:t>
            </w:r>
          </w:p>
          <w:p w14:paraId="1122A4FA" w14:textId="77777777" w:rsidR="004C6756" w:rsidRPr="00767FF8" w:rsidRDefault="004C6756" w:rsidP="00247ACE">
            <w:pPr>
              <w:rPr>
                <w:rFonts w:ascii="Times New Roman" w:eastAsia="Calibri" w:hAnsi="Times New Roman" w:cs="Times New Roman"/>
                <w:i/>
                <w:sz w:val="18"/>
                <w:szCs w:val="18"/>
              </w:rPr>
            </w:pPr>
            <w:r w:rsidRPr="00767FF8">
              <w:rPr>
                <w:rFonts w:ascii="Times New Roman" w:eastAsia="Calibri" w:hAnsi="Times New Roman" w:cs="Times New Roman"/>
                <w:i/>
                <w:sz w:val="18"/>
                <w:szCs w:val="18"/>
              </w:rPr>
              <w:t>For those MDAs without e-procurement:</w:t>
            </w:r>
          </w:p>
          <w:p w14:paraId="791FB287" w14:textId="77777777" w:rsidR="004C6756" w:rsidRPr="00767FF8" w:rsidDel="0024341A" w:rsidRDefault="004C6756" w:rsidP="00247ACE">
            <w:pPr>
              <w:spacing w:after="120"/>
              <w:rPr>
                <w:rFonts w:ascii="Times New Roman" w:eastAsia="Times New Roman" w:hAnsi="Times New Roman" w:cs="Times New Roman"/>
                <w:sz w:val="18"/>
                <w:szCs w:val="18"/>
              </w:rPr>
            </w:pPr>
            <w:r w:rsidRPr="00767FF8">
              <w:rPr>
                <w:rFonts w:ascii="Times New Roman" w:eastAsia="Calibri" w:hAnsi="Times New Roman" w:cs="Times New Roman"/>
                <w:sz w:val="18"/>
                <w:szCs w:val="18"/>
              </w:rPr>
              <w:t>Publish contract award information above a threshold set out in the State’s procurement law/regulation on a monthly basis in OCDS format on the state website or online portal if available</w:t>
            </w:r>
          </w:p>
        </w:tc>
      </w:tr>
      <w:tr w:rsidR="004C6756" w:rsidRPr="00767FF8" w14:paraId="270D739F" w14:textId="77777777" w:rsidTr="00247ACE">
        <w:trPr>
          <w:trHeight w:val="251"/>
        </w:trPr>
        <w:tc>
          <w:tcPr>
            <w:tcW w:w="866" w:type="pct"/>
            <w:shd w:val="clear" w:color="auto" w:fill="F2F2F2" w:themeFill="background1" w:themeFillShade="F2"/>
          </w:tcPr>
          <w:p w14:paraId="34C421CA" w14:textId="77777777" w:rsidR="004C6756" w:rsidRPr="00767FF8" w:rsidRDefault="004C6756" w:rsidP="00247ACE">
            <w:pPr>
              <w:pStyle w:val="ListParagraph"/>
              <w:ind w:left="0"/>
              <w:rPr>
                <w:rFonts w:ascii="Times New Roman" w:hAnsi="Times New Roman" w:cs="Times New Roman"/>
                <w:b/>
                <w:color w:val="C00000"/>
                <w:sz w:val="18"/>
                <w:szCs w:val="18"/>
              </w:rPr>
            </w:pPr>
            <w:r w:rsidRPr="00767FF8">
              <w:rPr>
                <w:rFonts w:ascii="Times New Roman" w:hAnsi="Times New Roman" w:cs="Times New Roman"/>
                <w:i/>
                <w:color w:val="C00000"/>
                <w:sz w:val="18"/>
                <w:szCs w:val="18"/>
              </w:rPr>
              <w:t>DLR 6.1 value</w:t>
            </w:r>
          </w:p>
        </w:tc>
        <w:tc>
          <w:tcPr>
            <w:tcW w:w="1034" w:type="pct"/>
            <w:shd w:val="clear" w:color="auto" w:fill="F2F2F2" w:themeFill="background1" w:themeFillShade="F2"/>
          </w:tcPr>
          <w:p w14:paraId="6351031E" w14:textId="77777777" w:rsidR="004C6756" w:rsidRPr="00767FF8" w:rsidRDefault="004C6756" w:rsidP="00247ACE">
            <w:pPr>
              <w:spacing w:after="120"/>
              <w:rPr>
                <w:rFonts w:ascii="Times New Roman" w:hAnsi="Times New Roman" w:cs="Times New Roman"/>
                <w:color w:val="C00000"/>
                <w:sz w:val="18"/>
                <w:szCs w:val="18"/>
              </w:rPr>
            </w:pPr>
            <w:r w:rsidRPr="00767FF8">
              <w:rPr>
                <w:rFonts w:ascii="Times New Roman" w:hAnsi="Times New Roman" w:cs="Times New Roman"/>
                <w:bCs/>
                <w:i/>
                <w:color w:val="C00000"/>
                <w:sz w:val="18"/>
                <w:szCs w:val="18"/>
              </w:rPr>
              <w:t>$2m per state</w:t>
            </w:r>
          </w:p>
        </w:tc>
        <w:tc>
          <w:tcPr>
            <w:tcW w:w="1034" w:type="pct"/>
            <w:shd w:val="clear" w:color="auto" w:fill="F2F2F2" w:themeFill="background1" w:themeFillShade="F2"/>
          </w:tcPr>
          <w:p w14:paraId="35F193B4" w14:textId="77777777" w:rsidR="004C6756" w:rsidRPr="00767FF8" w:rsidRDefault="004C6756" w:rsidP="00247ACE">
            <w:pPr>
              <w:spacing w:after="120"/>
              <w:rPr>
                <w:rFonts w:ascii="Times New Roman" w:hAnsi="Times New Roman" w:cs="Times New Roman"/>
                <w:color w:val="C00000"/>
                <w:sz w:val="18"/>
                <w:szCs w:val="18"/>
              </w:rPr>
            </w:pPr>
            <w:r w:rsidRPr="00767FF8">
              <w:rPr>
                <w:rFonts w:ascii="Times New Roman" w:hAnsi="Times New Roman" w:cs="Times New Roman"/>
                <w:bCs/>
                <w:i/>
                <w:color w:val="C00000"/>
                <w:sz w:val="18"/>
                <w:szCs w:val="18"/>
              </w:rPr>
              <w:t>$2m per state</w:t>
            </w:r>
          </w:p>
        </w:tc>
        <w:tc>
          <w:tcPr>
            <w:tcW w:w="1035" w:type="pct"/>
            <w:shd w:val="clear" w:color="auto" w:fill="F2F2F2" w:themeFill="background1" w:themeFillShade="F2"/>
          </w:tcPr>
          <w:p w14:paraId="0FBC3942" w14:textId="77777777" w:rsidR="004C6756" w:rsidRPr="00767FF8" w:rsidRDefault="004C6756" w:rsidP="00247ACE">
            <w:pPr>
              <w:spacing w:after="120"/>
              <w:rPr>
                <w:rFonts w:ascii="Times New Roman" w:hAnsi="Times New Roman" w:cs="Times New Roman"/>
                <w:color w:val="C00000"/>
                <w:sz w:val="18"/>
                <w:szCs w:val="18"/>
              </w:rPr>
            </w:pPr>
            <w:r w:rsidRPr="00767FF8">
              <w:rPr>
                <w:rFonts w:ascii="Times New Roman" w:hAnsi="Times New Roman" w:cs="Times New Roman"/>
                <w:bCs/>
                <w:i/>
                <w:color w:val="C00000"/>
                <w:sz w:val="18"/>
                <w:szCs w:val="18"/>
              </w:rPr>
              <w:t>$2m per state</w:t>
            </w:r>
          </w:p>
        </w:tc>
        <w:tc>
          <w:tcPr>
            <w:tcW w:w="1031" w:type="pct"/>
            <w:shd w:val="clear" w:color="auto" w:fill="F2F2F2" w:themeFill="background1" w:themeFillShade="F2"/>
          </w:tcPr>
          <w:p w14:paraId="42ED5CC9" w14:textId="77777777" w:rsidR="004C6756" w:rsidRPr="00767FF8" w:rsidRDefault="004C6756" w:rsidP="00247ACE">
            <w:pPr>
              <w:spacing w:after="120"/>
              <w:rPr>
                <w:rFonts w:ascii="Times New Roman" w:hAnsi="Times New Roman" w:cs="Times New Roman"/>
                <w:color w:val="C00000"/>
                <w:sz w:val="18"/>
                <w:szCs w:val="18"/>
              </w:rPr>
            </w:pPr>
            <w:r w:rsidRPr="00767FF8">
              <w:rPr>
                <w:rFonts w:ascii="Times New Roman" w:hAnsi="Times New Roman" w:cs="Times New Roman"/>
                <w:bCs/>
                <w:i/>
                <w:color w:val="C00000"/>
                <w:sz w:val="18"/>
                <w:szCs w:val="18"/>
              </w:rPr>
              <w:t>$2m per state</w:t>
            </w:r>
          </w:p>
        </w:tc>
      </w:tr>
      <w:tr w:rsidR="004C6756" w:rsidRPr="00767FF8" w14:paraId="4B588028" w14:textId="77777777" w:rsidTr="00247ACE">
        <w:trPr>
          <w:trHeight w:val="251"/>
        </w:trPr>
        <w:tc>
          <w:tcPr>
            <w:tcW w:w="866" w:type="pct"/>
            <w:shd w:val="clear" w:color="auto" w:fill="F2F2F2" w:themeFill="background1" w:themeFillShade="F2"/>
          </w:tcPr>
          <w:p w14:paraId="4A19641E"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6.2 value</w:t>
            </w:r>
          </w:p>
        </w:tc>
        <w:tc>
          <w:tcPr>
            <w:tcW w:w="1034" w:type="pct"/>
            <w:shd w:val="clear" w:color="auto" w:fill="F2F2F2" w:themeFill="background1" w:themeFillShade="F2"/>
          </w:tcPr>
          <w:p w14:paraId="4B22A612"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$0.5m per state</w:t>
            </w:r>
          </w:p>
        </w:tc>
        <w:tc>
          <w:tcPr>
            <w:tcW w:w="1034" w:type="pct"/>
            <w:shd w:val="clear" w:color="auto" w:fill="F2F2F2" w:themeFill="background1" w:themeFillShade="F2"/>
          </w:tcPr>
          <w:p w14:paraId="0B49CBD8"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$0.5m per state</w:t>
            </w:r>
          </w:p>
        </w:tc>
        <w:tc>
          <w:tcPr>
            <w:tcW w:w="1035" w:type="pct"/>
            <w:shd w:val="clear" w:color="auto" w:fill="F2F2F2" w:themeFill="background1" w:themeFillShade="F2"/>
          </w:tcPr>
          <w:p w14:paraId="291DE600"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Basic Target: $1m per state</w:t>
            </w:r>
          </w:p>
        </w:tc>
        <w:tc>
          <w:tcPr>
            <w:tcW w:w="1031" w:type="pct"/>
            <w:shd w:val="clear" w:color="auto" w:fill="F2F2F2" w:themeFill="background1" w:themeFillShade="F2"/>
          </w:tcPr>
          <w:p w14:paraId="7B0D613E"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 xml:space="preserve"> $2m per state</w:t>
            </w:r>
          </w:p>
        </w:tc>
      </w:tr>
      <w:tr w:rsidR="004C6756" w:rsidRPr="00767FF8" w14:paraId="32FE1FB3" w14:textId="77777777" w:rsidTr="00247ACE">
        <w:trPr>
          <w:trHeight w:val="251"/>
        </w:trPr>
        <w:tc>
          <w:tcPr>
            <w:tcW w:w="866" w:type="pct"/>
            <w:shd w:val="clear" w:color="auto" w:fill="F2F2F2" w:themeFill="background1" w:themeFillShade="F2"/>
          </w:tcPr>
          <w:p w14:paraId="1D396975" w14:textId="77777777" w:rsidR="004C6756" w:rsidRPr="00767FF8" w:rsidRDefault="004C6756" w:rsidP="00247ACE">
            <w:pPr>
              <w:pStyle w:val="ListParagraph"/>
              <w:ind w:left="0"/>
              <w:rPr>
                <w:rFonts w:ascii="Times New Roman" w:hAnsi="Times New Roman" w:cs="Times New Roman"/>
                <w:i/>
                <w:color w:val="C00000"/>
                <w:sz w:val="18"/>
                <w:szCs w:val="18"/>
              </w:rPr>
            </w:pPr>
          </w:p>
        </w:tc>
        <w:tc>
          <w:tcPr>
            <w:tcW w:w="1034" w:type="pct"/>
            <w:shd w:val="clear" w:color="auto" w:fill="F2F2F2" w:themeFill="background1" w:themeFillShade="F2"/>
          </w:tcPr>
          <w:p w14:paraId="3E8F68B3" w14:textId="77777777" w:rsidR="004C6756" w:rsidRPr="00767FF8" w:rsidRDefault="004C6756" w:rsidP="00247ACE">
            <w:pPr>
              <w:spacing w:after="120"/>
              <w:rPr>
                <w:rFonts w:ascii="Times New Roman" w:hAnsi="Times New Roman" w:cs="Times New Roman"/>
                <w:bCs/>
                <w:i/>
                <w:color w:val="C00000"/>
                <w:sz w:val="18"/>
                <w:szCs w:val="18"/>
              </w:rPr>
            </w:pPr>
          </w:p>
        </w:tc>
        <w:tc>
          <w:tcPr>
            <w:tcW w:w="1034" w:type="pct"/>
            <w:shd w:val="clear" w:color="auto" w:fill="F2F2F2" w:themeFill="background1" w:themeFillShade="F2"/>
          </w:tcPr>
          <w:p w14:paraId="1EB0618A" w14:textId="77777777" w:rsidR="004C6756" w:rsidRPr="00767FF8" w:rsidRDefault="004C6756" w:rsidP="00247ACE">
            <w:pPr>
              <w:spacing w:after="120"/>
              <w:rPr>
                <w:rFonts w:ascii="Times New Roman" w:hAnsi="Times New Roman" w:cs="Times New Roman"/>
                <w:bCs/>
                <w:i/>
                <w:color w:val="C00000"/>
                <w:sz w:val="18"/>
                <w:szCs w:val="18"/>
              </w:rPr>
            </w:pPr>
          </w:p>
        </w:tc>
        <w:tc>
          <w:tcPr>
            <w:tcW w:w="1035" w:type="pct"/>
            <w:shd w:val="clear" w:color="auto" w:fill="F2F2F2" w:themeFill="background1" w:themeFillShade="F2"/>
          </w:tcPr>
          <w:p w14:paraId="6F9A9BAF"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Stretch Target: $1.5m per state</w:t>
            </w:r>
          </w:p>
        </w:tc>
        <w:tc>
          <w:tcPr>
            <w:tcW w:w="1031" w:type="pct"/>
            <w:shd w:val="clear" w:color="auto" w:fill="F2F2F2" w:themeFill="background1" w:themeFillShade="F2"/>
          </w:tcPr>
          <w:p w14:paraId="19537D64" w14:textId="77777777" w:rsidR="004C6756" w:rsidRPr="00767FF8" w:rsidRDefault="004C6756" w:rsidP="00247ACE">
            <w:pPr>
              <w:spacing w:after="120"/>
              <w:rPr>
                <w:rFonts w:ascii="Times New Roman" w:hAnsi="Times New Roman" w:cs="Times New Roman"/>
                <w:bCs/>
                <w:i/>
                <w:color w:val="C00000"/>
                <w:sz w:val="18"/>
                <w:szCs w:val="18"/>
              </w:rPr>
            </w:pPr>
          </w:p>
        </w:tc>
      </w:tr>
      <w:tr w:rsidR="004C6756" w:rsidRPr="00767FF8" w14:paraId="21BB7A48" w14:textId="77777777" w:rsidTr="00247ACE">
        <w:trPr>
          <w:trHeight w:val="971"/>
        </w:trPr>
        <w:tc>
          <w:tcPr>
            <w:tcW w:w="866" w:type="pct"/>
            <w:vMerge w:val="restart"/>
            <w:shd w:val="clear" w:color="auto" w:fill="FFFFFF" w:themeFill="background1"/>
          </w:tcPr>
          <w:p w14:paraId="5A12DC9C"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sz w:val="18"/>
                <w:szCs w:val="18"/>
              </w:rPr>
              <w:t>DLI 7: Strengthened public debt management and fiscal responsibility framework</w:t>
            </w:r>
          </w:p>
        </w:tc>
        <w:tc>
          <w:tcPr>
            <w:tcW w:w="4134" w:type="pct"/>
            <w:gridSpan w:val="4"/>
            <w:shd w:val="clear" w:color="auto" w:fill="FFFFFF" w:themeFill="background1"/>
          </w:tcPr>
          <w:p w14:paraId="20A62A8F" w14:textId="77777777" w:rsidR="004C6756" w:rsidRPr="00767FF8" w:rsidRDefault="004C6756" w:rsidP="00247ACE">
            <w:pPr>
              <w:spacing w:after="120"/>
              <w:rPr>
                <w:rFonts w:ascii="Times New Roman" w:hAnsi="Times New Roman" w:cs="Times New Roman"/>
                <w:color w:val="000000" w:themeColor="text1"/>
                <w:sz w:val="18"/>
                <w:szCs w:val="18"/>
              </w:rPr>
            </w:pPr>
            <w:r w:rsidRPr="00767FF8">
              <w:rPr>
                <w:rFonts w:ascii="Times New Roman" w:hAnsi="Times New Roman"/>
                <w:sz w:val="18"/>
                <w:szCs w:val="18"/>
              </w:rPr>
              <w:t xml:space="preserve">7.1 State implementing state-level debt legislation, </w:t>
            </w:r>
            <w:r w:rsidRPr="00767FF8">
              <w:rPr>
                <w:rFonts w:ascii="Times New Roman" w:hAnsi="Times New Roman"/>
                <w:color w:val="000000"/>
                <w:sz w:val="18"/>
                <w:szCs w:val="18"/>
              </w:rPr>
              <w:t xml:space="preserve">which stipulates: 1) responsibilities for contracting state debt; 2) responsibilities for recording/reporting state debt; and 3) fiscal and debt rules/limits. </w:t>
            </w:r>
            <w:r w:rsidRPr="00767FF8">
              <w:rPr>
                <w:rFonts w:ascii="Times New Roman" w:hAnsi="Times New Roman"/>
                <w:i/>
                <w:sz w:val="18"/>
                <w:szCs w:val="18"/>
              </w:rPr>
              <w:t>(one-time payment for year in which DLR is first achieved, up to end of 2021)</w:t>
            </w:r>
          </w:p>
        </w:tc>
      </w:tr>
      <w:tr w:rsidR="004C6756" w:rsidRPr="00767FF8" w14:paraId="39C4946B" w14:textId="77777777" w:rsidTr="00247ACE">
        <w:trPr>
          <w:trHeight w:val="539"/>
        </w:trPr>
        <w:tc>
          <w:tcPr>
            <w:tcW w:w="866" w:type="pct"/>
            <w:vMerge/>
            <w:shd w:val="clear" w:color="auto" w:fill="FFFFFF" w:themeFill="background1"/>
          </w:tcPr>
          <w:p w14:paraId="304ED6D4" w14:textId="77777777" w:rsidR="004C6756" w:rsidRPr="00767FF8" w:rsidRDefault="004C6756" w:rsidP="00247ACE">
            <w:pPr>
              <w:pStyle w:val="ListParagraph"/>
              <w:ind w:left="0"/>
              <w:rPr>
                <w:rFonts w:ascii="Times New Roman" w:hAnsi="Times New Roman" w:cs="Times New Roman"/>
                <w:b/>
                <w:sz w:val="18"/>
                <w:szCs w:val="18"/>
              </w:rPr>
            </w:pPr>
          </w:p>
        </w:tc>
        <w:tc>
          <w:tcPr>
            <w:tcW w:w="1034" w:type="pct"/>
            <w:shd w:val="clear" w:color="auto" w:fill="FFFFFF" w:themeFill="background1"/>
          </w:tcPr>
          <w:p w14:paraId="5B943F1B"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7.2 </w:t>
            </w:r>
            <w:r w:rsidRPr="00767FF8">
              <w:rPr>
                <w:rFonts w:ascii="Times New Roman" w:hAnsi="Times New Roman" w:cs="Times New Roman"/>
                <w:color w:val="000000" w:themeColor="text1"/>
                <w:sz w:val="18"/>
                <w:szCs w:val="18"/>
              </w:rPr>
              <w:t>Quarterly state debt reports accepted by the DMO on average two months or less after the end of the quarter in 2018</w:t>
            </w:r>
          </w:p>
        </w:tc>
        <w:tc>
          <w:tcPr>
            <w:tcW w:w="1034" w:type="pct"/>
            <w:shd w:val="clear" w:color="auto" w:fill="FFFFFF" w:themeFill="background1"/>
          </w:tcPr>
          <w:p w14:paraId="6145E292"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7.2 </w:t>
            </w:r>
            <w:r w:rsidRPr="00767FF8">
              <w:rPr>
                <w:rFonts w:ascii="Times New Roman" w:hAnsi="Times New Roman" w:cs="Times New Roman"/>
                <w:color w:val="000000" w:themeColor="text1"/>
                <w:sz w:val="18"/>
                <w:szCs w:val="18"/>
              </w:rPr>
              <w:t>Quarterly state debt reports accepted by the DMO on average two months or less after the end of the quarter in 2019</w:t>
            </w:r>
          </w:p>
        </w:tc>
        <w:tc>
          <w:tcPr>
            <w:tcW w:w="1035" w:type="pct"/>
            <w:shd w:val="clear" w:color="auto" w:fill="FFFFFF" w:themeFill="background1"/>
          </w:tcPr>
          <w:p w14:paraId="5111ED3B" w14:textId="77777777" w:rsidR="004C6756" w:rsidRPr="00767FF8" w:rsidRDefault="004C6756" w:rsidP="00247ACE">
            <w:pPr>
              <w:spacing w:after="120"/>
              <w:rPr>
                <w:rFonts w:ascii="Times New Roman" w:hAnsi="Times New Roman" w:cs="Times New Roman"/>
                <w:color w:val="000000" w:themeColor="text1"/>
                <w:sz w:val="18"/>
                <w:szCs w:val="18"/>
              </w:rPr>
            </w:pPr>
            <w:r w:rsidRPr="00767FF8">
              <w:rPr>
                <w:rFonts w:ascii="Times New Roman" w:hAnsi="Times New Roman" w:cs="Times New Roman"/>
                <w:sz w:val="18"/>
                <w:szCs w:val="18"/>
              </w:rPr>
              <w:t xml:space="preserve">7.2 </w:t>
            </w:r>
            <w:r w:rsidRPr="00767FF8">
              <w:rPr>
                <w:rFonts w:ascii="Times New Roman" w:hAnsi="Times New Roman" w:cs="Times New Roman"/>
                <w:color w:val="000000" w:themeColor="text1"/>
                <w:sz w:val="18"/>
                <w:szCs w:val="18"/>
              </w:rPr>
              <w:t>Quarterly state debt reports for Q2, Q3 and Q4 2020 accepted by the DMO on average two months or less after the end of the quarter in 2020</w:t>
            </w:r>
          </w:p>
          <w:p w14:paraId="37C6C361" w14:textId="77777777" w:rsidR="004C6756" w:rsidRPr="00767FF8" w:rsidRDefault="004C6756" w:rsidP="00247ACE">
            <w:pPr>
              <w:spacing w:after="120"/>
              <w:rPr>
                <w:rFonts w:ascii="Times New Roman" w:hAnsi="Times New Roman" w:cs="Times New Roman"/>
                <w:color w:val="000000" w:themeColor="text1"/>
                <w:sz w:val="18"/>
                <w:szCs w:val="18"/>
              </w:rPr>
            </w:pPr>
            <w:r w:rsidRPr="00767FF8">
              <w:rPr>
                <w:rFonts w:ascii="Times New Roman" w:hAnsi="Times New Roman" w:cs="Times New Roman"/>
                <w:color w:val="000000" w:themeColor="text1"/>
                <w:sz w:val="18"/>
                <w:szCs w:val="18"/>
              </w:rPr>
              <w:t xml:space="preserve">AND </w:t>
            </w:r>
          </w:p>
          <w:p w14:paraId="5F423CFF" w14:textId="77777777" w:rsidR="004C6756" w:rsidRPr="00767FF8" w:rsidRDefault="004C6756" w:rsidP="00247ACE">
            <w:pPr>
              <w:spacing w:after="120"/>
              <w:rPr>
                <w:rFonts w:ascii="Times New Roman" w:hAnsi="Times New Roman" w:cs="Times New Roman"/>
                <w:color w:val="000000" w:themeColor="text1"/>
                <w:sz w:val="18"/>
                <w:szCs w:val="18"/>
              </w:rPr>
            </w:pPr>
            <w:r w:rsidRPr="00767FF8">
              <w:rPr>
                <w:rFonts w:ascii="Times New Roman" w:hAnsi="Times New Roman" w:cs="Times New Roman"/>
                <w:color w:val="000000" w:themeColor="text1"/>
                <w:sz w:val="18"/>
                <w:szCs w:val="18"/>
              </w:rPr>
              <w:t>Annual state debt sustainability analysis published by end of December 2020</w:t>
            </w:r>
          </w:p>
        </w:tc>
        <w:tc>
          <w:tcPr>
            <w:tcW w:w="1031" w:type="pct"/>
            <w:shd w:val="clear" w:color="auto" w:fill="FFFFFF" w:themeFill="background1"/>
          </w:tcPr>
          <w:p w14:paraId="0B2AFDE6"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7.2 </w:t>
            </w:r>
            <w:r w:rsidRPr="00767FF8">
              <w:rPr>
                <w:rFonts w:ascii="Times New Roman" w:hAnsi="Times New Roman" w:cs="Times New Roman"/>
                <w:color w:val="000000" w:themeColor="text1"/>
                <w:sz w:val="18"/>
                <w:szCs w:val="18"/>
              </w:rPr>
              <w:t>Quarterly state debt reports accepted by the DMO on average two months or less after the end of the quarter in 2021</w:t>
            </w:r>
          </w:p>
          <w:p w14:paraId="0B5B0C51" w14:textId="77777777" w:rsidR="004C6756" w:rsidRPr="00767FF8" w:rsidRDefault="004C6756" w:rsidP="00247ACE">
            <w:pPr>
              <w:spacing w:after="120"/>
              <w:rPr>
                <w:rFonts w:ascii="Times New Roman" w:hAnsi="Times New Roman" w:cs="Times New Roman"/>
                <w:color w:val="000000" w:themeColor="text1"/>
                <w:sz w:val="18"/>
                <w:szCs w:val="18"/>
              </w:rPr>
            </w:pPr>
            <w:r w:rsidRPr="00767FF8">
              <w:rPr>
                <w:rFonts w:ascii="Times New Roman" w:hAnsi="Times New Roman" w:cs="Times New Roman"/>
                <w:color w:val="000000" w:themeColor="text1"/>
                <w:sz w:val="18"/>
                <w:szCs w:val="18"/>
              </w:rPr>
              <w:t>AND</w:t>
            </w:r>
          </w:p>
          <w:p w14:paraId="3EF435E6" w14:textId="77777777" w:rsidR="004C6756" w:rsidRPr="00767FF8" w:rsidRDefault="004C6756" w:rsidP="00247ACE">
            <w:pPr>
              <w:rPr>
                <w:rFonts w:ascii="Times New Roman" w:hAnsi="Times New Roman" w:cs="Times New Roman"/>
                <w:color w:val="000000" w:themeColor="text1"/>
                <w:sz w:val="18"/>
                <w:szCs w:val="18"/>
              </w:rPr>
            </w:pPr>
            <w:r w:rsidRPr="00767FF8">
              <w:rPr>
                <w:rFonts w:ascii="Times New Roman" w:hAnsi="Times New Roman" w:cs="Times New Roman"/>
                <w:color w:val="000000" w:themeColor="text1"/>
                <w:sz w:val="18"/>
                <w:szCs w:val="18"/>
              </w:rPr>
              <w:t>Annual state debt sustainability analysis and Medium-term debt management strategy published by end of December 2021</w:t>
            </w:r>
          </w:p>
        </w:tc>
      </w:tr>
      <w:tr w:rsidR="004C6756" w:rsidRPr="00767FF8" w14:paraId="0CA0A848" w14:textId="77777777" w:rsidTr="00247ACE">
        <w:trPr>
          <w:trHeight w:val="251"/>
        </w:trPr>
        <w:tc>
          <w:tcPr>
            <w:tcW w:w="866" w:type="pct"/>
            <w:tcBorders>
              <w:bottom w:val="single" w:sz="4" w:space="0" w:color="auto"/>
            </w:tcBorders>
            <w:shd w:val="clear" w:color="auto" w:fill="FFFFFF" w:themeFill="background1"/>
          </w:tcPr>
          <w:p w14:paraId="457E9ADF"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7.1 value</w:t>
            </w:r>
          </w:p>
        </w:tc>
        <w:tc>
          <w:tcPr>
            <w:tcW w:w="1034" w:type="pct"/>
            <w:tcBorders>
              <w:bottom w:val="single" w:sz="4" w:space="0" w:color="auto"/>
            </w:tcBorders>
            <w:shd w:val="clear" w:color="auto" w:fill="FFFFFF" w:themeFill="background1"/>
          </w:tcPr>
          <w:p w14:paraId="25083A39"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bCs/>
                <w:i/>
                <w:color w:val="C00000"/>
                <w:sz w:val="18"/>
                <w:szCs w:val="18"/>
              </w:rPr>
              <w:t>$2m per state</w:t>
            </w:r>
          </w:p>
        </w:tc>
        <w:tc>
          <w:tcPr>
            <w:tcW w:w="1034" w:type="pct"/>
            <w:tcBorders>
              <w:bottom w:val="single" w:sz="4" w:space="0" w:color="auto"/>
            </w:tcBorders>
            <w:shd w:val="clear" w:color="auto" w:fill="FFFFFF" w:themeFill="background1"/>
          </w:tcPr>
          <w:p w14:paraId="47AE750C"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bCs/>
                <w:i/>
                <w:color w:val="C00000"/>
                <w:sz w:val="18"/>
                <w:szCs w:val="18"/>
              </w:rPr>
              <w:t>$2m per state</w:t>
            </w:r>
          </w:p>
        </w:tc>
        <w:tc>
          <w:tcPr>
            <w:tcW w:w="1035" w:type="pct"/>
            <w:tcBorders>
              <w:bottom w:val="single" w:sz="4" w:space="0" w:color="auto"/>
            </w:tcBorders>
            <w:shd w:val="clear" w:color="auto" w:fill="FFFFFF" w:themeFill="background1"/>
          </w:tcPr>
          <w:p w14:paraId="0ACD2D1F"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bCs/>
                <w:i/>
                <w:color w:val="C00000"/>
                <w:sz w:val="18"/>
                <w:szCs w:val="18"/>
              </w:rPr>
              <w:t>$2m per state</w:t>
            </w:r>
          </w:p>
        </w:tc>
        <w:tc>
          <w:tcPr>
            <w:tcW w:w="1031" w:type="pct"/>
            <w:tcBorders>
              <w:bottom w:val="single" w:sz="4" w:space="0" w:color="auto"/>
            </w:tcBorders>
            <w:shd w:val="clear" w:color="auto" w:fill="FFFFFF" w:themeFill="background1"/>
          </w:tcPr>
          <w:p w14:paraId="7C48B6FB" w14:textId="77777777" w:rsidR="004C6756" w:rsidRPr="00767FF8" w:rsidRDefault="004C6756" w:rsidP="00247ACE">
            <w:pPr>
              <w:spacing w:after="120"/>
              <w:rPr>
                <w:rFonts w:ascii="Times New Roman" w:hAnsi="Times New Roman" w:cs="Times New Roman"/>
                <w:i/>
                <w:sz w:val="18"/>
                <w:szCs w:val="18"/>
              </w:rPr>
            </w:pPr>
            <w:r w:rsidRPr="00767FF8">
              <w:rPr>
                <w:rFonts w:ascii="Times New Roman" w:hAnsi="Times New Roman" w:cs="Times New Roman"/>
                <w:bCs/>
                <w:i/>
                <w:color w:val="C00000"/>
                <w:sz w:val="18"/>
                <w:szCs w:val="18"/>
              </w:rPr>
              <w:t>$2m per state</w:t>
            </w:r>
          </w:p>
        </w:tc>
      </w:tr>
      <w:tr w:rsidR="004C6756" w:rsidRPr="00767FF8" w14:paraId="24895D87" w14:textId="77777777" w:rsidTr="00247ACE">
        <w:trPr>
          <w:trHeight w:val="332"/>
        </w:trPr>
        <w:tc>
          <w:tcPr>
            <w:tcW w:w="866" w:type="pct"/>
            <w:tcBorders>
              <w:bottom w:val="single" w:sz="4" w:space="0" w:color="auto"/>
            </w:tcBorders>
            <w:shd w:val="clear" w:color="auto" w:fill="FFFFFF" w:themeFill="background1"/>
          </w:tcPr>
          <w:p w14:paraId="0A64979E"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7.2 value</w:t>
            </w:r>
          </w:p>
        </w:tc>
        <w:tc>
          <w:tcPr>
            <w:tcW w:w="1034" w:type="pct"/>
            <w:tcBorders>
              <w:bottom w:val="single" w:sz="4" w:space="0" w:color="auto"/>
            </w:tcBorders>
            <w:shd w:val="clear" w:color="auto" w:fill="FFFFFF" w:themeFill="background1"/>
          </w:tcPr>
          <w:p w14:paraId="50194A7C"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 xml:space="preserve"> $0.5m per state</w:t>
            </w:r>
          </w:p>
        </w:tc>
        <w:tc>
          <w:tcPr>
            <w:tcW w:w="1034" w:type="pct"/>
            <w:tcBorders>
              <w:bottom w:val="single" w:sz="4" w:space="0" w:color="auto"/>
            </w:tcBorders>
            <w:shd w:val="clear" w:color="auto" w:fill="FFFFFF" w:themeFill="background1"/>
          </w:tcPr>
          <w:p w14:paraId="754B58D3"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$0.5m per state</w:t>
            </w:r>
          </w:p>
        </w:tc>
        <w:tc>
          <w:tcPr>
            <w:tcW w:w="1035" w:type="pct"/>
            <w:tcBorders>
              <w:bottom w:val="single" w:sz="4" w:space="0" w:color="auto"/>
            </w:tcBorders>
            <w:shd w:val="clear" w:color="auto" w:fill="FFFFFF" w:themeFill="background1"/>
          </w:tcPr>
          <w:p w14:paraId="669B986D"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$0.5m per state</w:t>
            </w:r>
          </w:p>
        </w:tc>
        <w:tc>
          <w:tcPr>
            <w:tcW w:w="1031" w:type="pct"/>
            <w:tcBorders>
              <w:bottom w:val="single" w:sz="4" w:space="0" w:color="auto"/>
            </w:tcBorders>
            <w:shd w:val="clear" w:color="auto" w:fill="FFFFFF" w:themeFill="background1"/>
          </w:tcPr>
          <w:p w14:paraId="7A337E83" w14:textId="77777777" w:rsidR="004C6756" w:rsidRPr="00767FF8" w:rsidRDefault="004C6756" w:rsidP="00247ACE">
            <w:pPr>
              <w:spacing w:after="120"/>
              <w:rPr>
                <w:rFonts w:ascii="Times New Roman" w:hAnsi="Times New Roman" w:cs="Times New Roman"/>
                <w:bCs/>
                <w:i/>
                <w:color w:val="C00000"/>
                <w:sz w:val="18"/>
                <w:szCs w:val="18"/>
              </w:rPr>
            </w:pPr>
            <w:r w:rsidRPr="00767FF8">
              <w:rPr>
                <w:rFonts w:ascii="Times New Roman" w:hAnsi="Times New Roman" w:cs="Times New Roman"/>
                <w:bCs/>
                <w:i/>
                <w:color w:val="C00000"/>
                <w:sz w:val="18"/>
                <w:szCs w:val="18"/>
              </w:rPr>
              <w:t>$0.5m per state</w:t>
            </w:r>
          </w:p>
        </w:tc>
      </w:tr>
      <w:tr w:rsidR="004C6756" w:rsidRPr="00767FF8" w14:paraId="750131BE" w14:textId="77777777" w:rsidTr="00247ACE">
        <w:trPr>
          <w:trHeight w:val="458"/>
        </w:trPr>
        <w:tc>
          <w:tcPr>
            <w:tcW w:w="866" w:type="pct"/>
            <w:tcBorders>
              <w:top w:val="nil"/>
              <w:bottom w:val="single" w:sz="4" w:space="0" w:color="auto"/>
            </w:tcBorders>
            <w:shd w:val="clear" w:color="auto" w:fill="F2F2F2" w:themeFill="background1" w:themeFillShade="F2"/>
          </w:tcPr>
          <w:p w14:paraId="44D5DA49" w14:textId="77777777" w:rsidR="004C6756" w:rsidRPr="00767FF8" w:rsidDel="00E43FA9" w:rsidRDefault="004C6756" w:rsidP="00247ACE">
            <w:pPr>
              <w:rPr>
                <w:rFonts w:ascii="Times New Roman" w:hAnsi="Times New Roman" w:cs="Times New Roman"/>
                <w:b/>
                <w:bCs/>
                <w:sz w:val="18"/>
                <w:szCs w:val="18"/>
              </w:rPr>
            </w:pPr>
            <w:r w:rsidRPr="00767FF8">
              <w:rPr>
                <w:rFonts w:ascii="Times New Roman" w:hAnsi="Times New Roman" w:cs="Times New Roman"/>
                <w:b/>
                <w:bCs/>
                <w:sz w:val="18"/>
                <w:szCs w:val="18"/>
              </w:rPr>
              <w:t xml:space="preserve">DLI 8: Improved clearance/reduction of stock of domestic expenditure arrears </w:t>
            </w:r>
          </w:p>
        </w:tc>
        <w:tc>
          <w:tcPr>
            <w:tcW w:w="1034" w:type="pct"/>
            <w:tcBorders>
              <w:top w:val="nil"/>
              <w:bottom w:val="single" w:sz="4" w:space="0" w:color="auto"/>
            </w:tcBorders>
            <w:shd w:val="clear" w:color="auto" w:fill="F2F2F2" w:themeFill="background1" w:themeFillShade="F2"/>
          </w:tcPr>
          <w:p w14:paraId="5B23FEFB" w14:textId="77777777" w:rsidR="004C6756" w:rsidRPr="00767FF8" w:rsidDel="00E43FA9"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Domestic arrears as of end 2018 reported in an online publicly-accessible database, with a verification process in place and an arrears clearance framework established. </w:t>
            </w:r>
          </w:p>
        </w:tc>
        <w:tc>
          <w:tcPr>
            <w:tcW w:w="1034" w:type="pct"/>
            <w:tcBorders>
              <w:top w:val="nil"/>
              <w:bottom w:val="single" w:sz="4" w:space="0" w:color="auto"/>
            </w:tcBorders>
            <w:shd w:val="clear" w:color="auto" w:fill="F2F2F2" w:themeFill="background1" w:themeFillShade="F2"/>
          </w:tcPr>
          <w:p w14:paraId="0EF9C292"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Domestic arrears as of end 2018 and end 2019 reported in an online publicly - accessible database, with verification process in place.</w:t>
            </w:r>
          </w:p>
          <w:p w14:paraId="1EAA1749"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AND Percentage decline in the verified stock of domestic arrears at end 2019 compared to end 2018 meets target and is consistent with the state’s arrears clearance framework.             </w:t>
            </w:r>
          </w:p>
          <w:p w14:paraId="7E4C007E" w14:textId="77777777" w:rsidR="004C6756" w:rsidRPr="00767FF8" w:rsidDel="00E43FA9"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w:t>
            </w:r>
            <w:r w:rsidRPr="00767FF8">
              <w:rPr>
                <w:rFonts w:ascii="Times New Roman" w:hAnsi="Times New Roman" w:cs="Times New Roman"/>
                <w:b/>
                <w:sz w:val="18"/>
                <w:szCs w:val="18"/>
              </w:rPr>
              <w:t>Basic target:</w:t>
            </w:r>
            <w:r w:rsidRPr="00767FF8">
              <w:rPr>
                <w:rFonts w:ascii="Times New Roman" w:hAnsi="Times New Roman" w:cs="Times New Roman"/>
                <w:sz w:val="18"/>
                <w:szCs w:val="18"/>
              </w:rPr>
              <w:t xml:space="preserve"> At least a 5 percent decline or maintain stock below 5 billion naira</w:t>
            </w:r>
            <w:r w:rsidRPr="00767FF8">
              <w:rPr>
                <w:rFonts w:ascii="Times New Roman" w:hAnsi="Times New Roman" w:cs="Times New Roman"/>
                <w:sz w:val="18"/>
                <w:szCs w:val="18"/>
              </w:rPr>
              <w:br/>
              <w:t>-</w:t>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More than 20 percent decline</w:t>
            </w:r>
          </w:p>
        </w:tc>
        <w:tc>
          <w:tcPr>
            <w:tcW w:w="1035" w:type="pct"/>
            <w:tcBorders>
              <w:top w:val="nil"/>
              <w:bottom w:val="single" w:sz="4" w:space="0" w:color="auto"/>
            </w:tcBorders>
            <w:shd w:val="clear" w:color="auto" w:fill="F2F2F2" w:themeFill="background1" w:themeFillShade="F2"/>
          </w:tcPr>
          <w:p w14:paraId="44BBCBB9"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u w:val="single"/>
              </w:rPr>
              <w:t>Basic Target:</w:t>
            </w:r>
            <w:r w:rsidRPr="00767FF8">
              <w:rPr>
                <w:rFonts w:ascii="Times New Roman" w:hAnsi="Times New Roman" w:cs="Times New Roman"/>
                <w:sz w:val="18"/>
                <w:szCs w:val="18"/>
              </w:rPr>
              <w:t xml:space="preserve"> Domestic arrears as of end 2019 and end 2020 reported in an online publicly-accessible database, with verification process in place. </w:t>
            </w:r>
          </w:p>
          <w:p w14:paraId="73834C0D" w14:textId="77777777" w:rsidR="004C6756" w:rsidRPr="00767FF8" w:rsidDel="00E43FA9"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u w:val="single"/>
              </w:rPr>
              <w:t>Stretch Target:</w:t>
            </w:r>
            <w:r w:rsidRPr="00767FF8">
              <w:rPr>
                <w:rFonts w:ascii="Times New Roman" w:hAnsi="Times New Roman" w:cs="Times New Roman"/>
                <w:sz w:val="18"/>
                <w:szCs w:val="18"/>
              </w:rPr>
              <w:t xml:space="preserve"> Domestic arrears as of end 2019 and end 2020 reported in an online publicly-accessible database, with verification process in place AND at least a 5 percent decline in the verified stock of domestic arrears at end 2020 compared to end 2019 consistent with the state’s arrears clearance framework or maintain stock below 5 billion.</w:t>
            </w:r>
          </w:p>
        </w:tc>
        <w:tc>
          <w:tcPr>
            <w:tcW w:w="1031" w:type="pct"/>
            <w:tcBorders>
              <w:top w:val="nil"/>
              <w:bottom w:val="single" w:sz="4" w:space="0" w:color="auto"/>
            </w:tcBorders>
            <w:shd w:val="clear" w:color="auto" w:fill="F2F2F2" w:themeFill="background1" w:themeFillShade="F2"/>
          </w:tcPr>
          <w:p w14:paraId="0F097261"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Domestic arrears as of end 2020 and end 2021 reported in an online publicly-accessible database, with verification process in place.</w:t>
            </w:r>
          </w:p>
          <w:p w14:paraId="7875BD30"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AND</w:t>
            </w:r>
          </w:p>
          <w:p w14:paraId="57E7E55A"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Percentage decline in the verified stock of domestic arrears at end 2021 compared to end 2020 meets target and is consistent with the state’s arrears clearance framework.         </w:t>
            </w:r>
          </w:p>
          <w:p w14:paraId="7656A4E7"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w:t>
            </w:r>
            <w:r w:rsidRPr="00767FF8">
              <w:rPr>
                <w:rFonts w:ascii="Times New Roman" w:hAnsi="Times New Roman" w:cs="Times New Roman"/>
                <w:b/>
                <w:sz w:val="18"/>
                <w:szCs w:val="18"/>
              </w:rPr>
              <w:t>Basic target:</w:t>
            </w:r>
            <w:r w:rsidRPr="00767FF8">
              <w:rPr>
                <w:rFonts w:ascii="Times New Roman" w:hAnsi="Times New Roman" w:cs="Times New Roman"/>
                <w:sz w:val="18"/>
                <w:szCs w:val="18"/>
              </w:rPr>
              <w:t xml:space="preserve"> At least a 5 percent decline or maintain stock below 5 billion naira</w:t>
            </w:r>
            <w:r w:rsidRPr="00767FF8">
              <w:rPr>
                <w:rFonts w:ascii="Times New Roman" w:hAnsi="Times New Roman" w:cs="Times New Roman"/>
                <w:sz w:val="18"/>
                <w:szCs w:val="18"/>
              </w:rPr>
              <w:br/>
              <w:t>-</w:t>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More than 20 percent decline</w:t>
            </w:r>
          </w:p>
        </w:tc>
      </w:tr>
      <w:tr w:rsidR="004C6756" w:rsidRPr="00767FF8" w14:paraId="5C578D76" w14:textId="77777777" w:rsidTr="00247ACE">
        <w:trPr>
          <w:trHeight w:val="188"/>
        </w:trPr>
        <w:tc>
          <w:tcPr>
            <w:tcW w:w="866" w:type="pct"/>
            <w:shd w:val="clear" w:color="auto" w:fill="F2F2F2" w:themeFill="background1" w:themeFillShade="F2"/>
          </w:tcPr>
          <w:p w14:paraId="49DE41BB"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8 Basic value</w:t>
            </w:r>
          </w:p>
        </w:tc>
        <w:tc>
          <w:tcPr>
            <w:tcW w:w="1034" w:type="pct"/>
            <w:vMerge w:val="restart"/>
            <w:shd w:val="clear" w:color="auto" w:fill="F2F2F2" w:themeFill="background1" w:themeFillShade="F2"/>
          </w:tcPr>
          <w:p w14:paraId="6E8C7893"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c>
          <w:tcPr>
            <w:tcW w:w="1034" w:type="pct"/>
            <w:shd w:val="clear" w:color="auto" w:fill="F2F2F2" w:themeFill="background1" w:themeFillShade="F2"/>
          </w:tcPr>
          <w:p w14:paraId="1DFA90D9"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$1m per state</w:t>
            </w:r>
          </w:p>
        </w:tc>
        <w:tc>
          <w:tcPr>
            <w:tcW w:w="1035" w:type="pct"/>
            <w:shd w:val="clear" w:color="auto" w:fill="F2F2F2" w:themeFill="background1" w:themeFillShade="F2"/>
          </w:tcPr>
          <w:p w14:paraId="3093889C"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c>
          <w:tcPr>
            <w:tcW w:w="1031" w:type="pct"/>
            <w:shd w:val="clear" w:color="auto" w:fill="F2F2F2" w:themeFill="background1" w:themeFillShade="F2"/>
          </w:tcPr>
          <w:p w14:paraId="26EC8FDB"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r>
      <w:tr w:rsidR="004C6756" w:rsidRPr="00767FF8" w14:paraId="4BC0BD4C" w14:textId="77777777" w:rsidTr="00247ACE">
        <w:trPr>
          <w:trHeight w:val="332"/>
        </w:trPr>
        <w:tc>
          <w:tcPr>
            <w:tcW w:w="866" w:type="pct"/>
            <w:tcBorders>
              <w:bottom w:val="single" w:sz="4" w:space="0" w:color="auto"/>
            </w:tcBorders>
            <w:shd w:val="clear" w:color="auto" w:fill="F2F2F2" w:themeFill="background1" w:themeFillShade="F2"/>
          </w:tcPr>
          <w:p w14:paraId="25DADDF5" w14:textId="77777777" w:rsidR="004C6756" w:rsidRPr="00767FF8" w:rsidRDefault="004C6756" w:rsidP="00247ACE">
            <w:pPr>
              <w:pStyle w:val="ListParagraph"/>
              <w:ind w:left="0"/>
              <w:rPr>
                <w:rFonts w:ascii="Times New Roman" w:hAnsi="Times New Roman" w:cs="Times New Roman"/>
                <w:b/>
                <w:color w:val="C00000"/>
                <w:sz w:val="18"/>
                <w:szCs w:val="18"/>
              </w:rPr>
            </w:pPr>
            <w:r w:rsidRPr="00767FF8">
              <w:rPr>
                <w:rFonts w:ascii="Times New Roman" w:hAnsi="Times New Roman" w:cs="Times New Roman"/>
                <w:i/>
                <w:color w:val="C00000"/>
                <w:sz w:val="18"/>
                <w:szCs w:val="18"/>
              </w:rPr>
              <w:t>DLR 8 Stretch value</w:t>
            </w:r>
          </w:p>
        </w:tc>
        <w:tc>
          <w:tcPr>
            <w:tcW w:w="1034" w:type="pct"/>
            <w:vMerge/>
            <w:tcBorders>
              <w:bottom w:val="single" w:sz="4" w:space="0" w:color="auto"/>
            </w:tcBorders>
            <w:shd w:val="clear" w:color="auto" w:fill="F2F2F2" w:themeFill="background1" w:themeFillShade="F2"/>
          </w:tcPr>
          <w:p w14:paraId="5881BDAB" w14:textId="77777777" w:rsidR="004C6756" w:rsidRPr="00767FF8" w:rsidRDefault="004C6756" w:rsidP="00247ACE">
            <w:pPr>
              <w:spacing w:after="120"/>
              <w:rPr>
                <w:rFonts w:ascii="Times New Roman" w:hAnsi="Times New Roman" w:cs="Times New Roman"/>
                <w:i/>
                <w:color w:val="C00000"/>
                <w:sz w:val="18"/>
                <w:szCs w:val="18"/>
              </w:rPr>
            </w:pPr>
          </w:p>
        </w:tc>
        <w:tc>
          <w:tcPr>
            <w:tcW w:w="1034" w:type="pct"/>
            <w:tcBorders>
              <w:bottom w:val="single" w:sz="4" w:space="0" w:color="auto"/>
            </w:tcBorders>
            <w:shd w:val="clear" w:color="auto" w:fill="F2F2F2" w:themeFill="background1" w:themeFillShade="F2"/>
          </w:tcPr>
          <w:p w14:paraId="045635C5"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$2m per state</w:t>
            </w:r>
          </w:p>
        </w:tc>
        <w:tc>
          <w:tcPr>
            <w:tcW w:w="1035" w:type="pct"/>
            <w:tcBorders>
              <w:bottom w:val="single" w:sz="4" w:space="0" w:color="auto"/>
            </w:tcBorders>
            <w:shd w:val="clear" w:color="auto" w:fill="F2F2F2" w:themeFill="background1" w:themeFillShade="F2"/>
          </w:tcPr>
          <w:p w14:paraId="7A598893"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$2m per state</w:t>
            </w:r>
          </w:p>
        </w:tc>
        <w:tc>
          <w:tcPr>
            <w:tcW w:w="1031" w:type="pct"/>
            <w:tcBorders>
              <w:bottom w:val="single" w:sz="4" w:space="0" w:color="auto"/>
            </w:tcBorders>
            <w:shd w:val="clear" w:color="auto" w:fill="F2F2F2" w:themeFill="background1" w:themeFillShade="F2"/>
          </w:tcPr>
          <w:p w14:paraId="57D97094"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$2m per state</w:t>
            </w:r>
          </w:p>
        </w:tc>
      </w:tr>
      <w:tr w:rsidR="004C6756" w:rsidRPr="00767FF8" w14:paraId="475EBC7E" w14:textId="77777777" w:rsidTr="00247ACE">
        <w:trPr>
          <w:trHeight w:val="3824"/>
        </w:trPr>
        <w:tc>
          <w:tcPr>
            <w:tcW w:w="866" w:type="pct"/>
            <w:tcBorders>
              <w:top w:val="nil"/>
            </w:tcBorders>
            <w:shd w:val="clear" w:color="auto" w:fill="FFFFFF" w:themeFill="background1"/>
          </w:tcPr>
          <w:p w14:paraId="3C2AFD27" w14:textId="77777777" w:rsidR="004C6756" w:rsidRPr="00767FF8" w:rsidRDefault="004C6756" w:rsidP="00247ACE">
            <w:pPr>
              <w:pStyle w:val="ListParagraph"/>
              <w:ind w:left="0"/>
              <w:rPr>
                <w:rFonts w:ascii="Times New Roman" w:hAnsi="Times New Roman" w:cs="Times New Roman"/>
                <w:b/>
                <w:sz w:val="18"/>
                <w:szCs w:val="18"/>
              </w:rPr>
            </w:pPr>
            <w:r w:rsidRPr="00767FF8">
              <w:rPr>
                <w:rFonts w:ascii="Times New Roman" w:hAnsi="Times New Roman" w:cs="Times New Roman"/>
                <w:b/>
                <w:bCs/>
                <w:sz w:val="18"/>
                <w:szCs w:val="18"/>
              </w:rPr>
              <w:lastRenderedPageBreak/>
              <w:t>DLI 9: Improved debt sustainability</w:t>
            </w:r>
          </w:p>
        </w:tc>
        <w:tc>
          <w:tcPr>
            <w:tcW w:w="1034" w:type="pct"/>
            <w:tcBorders>
              <w:top w:val="nil"/>
            </w:tcBorders>
            <w:shd w:val="clear" w:color="auto" w:fill="FFFFFF" w:themeFill="background1"/>
          </w:tcPr>
          <w:p w14:paraId="583E9443"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Average monthly debt service deduction is &lt; 40% of gross FAAC allocation for FY2018</w:t>
            </w:r>
          </w:p>
          <w:p w14:paraId="73CAB909"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AND</w:t>
            </w:r>
          </w:p>
          <w:p w14:paraId="43298149"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Total debt stock at end of December 2018 as a share of total revenue for FY2018 meets target: </w:t>
            </w:r>
          </w:p>
          <w:p w14:paraId="2A51A078"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b/>
                <w:sz w:val="18"/>
                <w:szCs w:val="18"/>
              </w:rPr>
              <w:t>-Basic target:</w:t>
            </w:r>
            <w:r w:rsidRPr="00767FF8">
              <w:rPr>
                <w:rFonts w:ascii="Times New Roman" w:hAnsi="Times New Roman" w:cs="Times New Roman"/>
                <w:sz w:val="18"/>
                <w:szCs w:val="18"/>
              </w:rPr>
              <w:t xml:space="preserve"> </w:t>
            </w:r>
          </w:p>
          <w:p w14:paraId="1885D1FF"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&lt; 150%</w:t>
            </w:r>
            <w:r w:rsidRPr="00767FF8">
              <w:rPr>
                <w:rFonts w:ascii="Times New Roman" w:hAnsi="Times New Roman" w:cs="Times New Roman"/>
                <w:sz w:val="18"/>
                <w:szCs w:val="18"/>
              </w:rPr>
              <w:br/>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w:t>
            </w:r>
          </w:p>
          <w:p w14:paraId="60D5D22A"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&lt; 125% </w:t>
            </w:r>
          </w:p>
        </w:tc>
        <w:tc>
          <w:tcPr>
            <w:tcW w:w="1034" w:type="pct"/>
            <w:tcBorders>
              <w:top w:val="nil"/>
            </w:tcBorders>
            <w:shd w:val="clear" w:color="auto" w:fill="FFFFFF" w:themeFill="background1"/>
          </w:tcPr>
          <w:p w14:paraId="05EC8DBF"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Average monthly debt service deduction is &lt; 40% of gross FAAC allocation for FY2019</w:t>
            </w:r>
          </w:p>
          <w:p w14:paraId="5F068EDC"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 xml:space="preserve">AND </w:t>
            </w:r>
          </w:p>
          <w:p w14:paraId="19A369C9"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Total debt stock at end of December 2019 as a share of total revenue for FY2019 meets target: </w:t>
            </w:r>
          </w:p>
          <w:p w14:paraId="2D1E1205"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b/>
                <w:sz w:val="18"/>
                <w:szCs w:val="18"/>
              </w:rPr>
              <w:t>-Basic target:</w:t>
            </w:r>
            <w:r w:rsidRPr="00767FF8">
              <w:rPr>
                <w:rFonts w:ascii="Times New Roman" w:hAnsi="Times New Roman" w:cs="Times New Roman"/>
                <w:sz w:val="18"/>
                <w:szCs w:val="18"/>
              </w:rPr>
              <w:t xml:space="preserve"> </w:t>
            </w:r>
          </w:p>
          <w:p w14:paraId="75A62706"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&lt; 140%</w:t>
            </w:r>
            <w:r w:rsidRPr="00767FF8">
              <w:rPr>
                <w:rFonts w:ascii="Times New Roman" w:hAnsi="Times New Roman" w:cs="Times New Roman"/>
                <w:sz w:val="18"/>
                <w:szCs w:val="18"/>
              </w:rPr>
              <w:br/>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w:t>
            </w:r>
          </w:p>
          <w:p w14:paraId="02340FE3"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&lt; 115%</w:t>
            </w:r>
          </w:p>
        </w:tc>
        <w:tc>
          <w:tcPr>
            <w:tcW w:w="1035" w:type="pct"/>
            <w:tcBorders>
              <w:top w:val="nil"/>
            </w:tcBorders>
            <w:shd w:val="clear" w:color="auto" w:fill="FFFFFF" w:themeFill="background1"/>
          </w:tcPr>
          <w:p w14:paraId="225230F0"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Total debt stock at end of December 2020 as a share of total revenue for FY2020 meets target: </w:t>
            </w:r>
          </w:p>
          <w:p w14:paraId="462C26E1"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b/>
                <w:sz w:val="18"/>
                <w:szCs w:val="18"/>
              </w:rPr>
              <w:t>-Basic target:</w:t>
            </w:r>
            <w:r w:rsidRPr="00767FF8">
              <w:rPr>
                <w:rFonts w:ascii="Times New Roman" w:hAnsi="Times New Roman" w:cs="Times New Roman"/>
                <w:sz w:val="18"/>
                <w:szCs w:val="18"/>
              </w:rPr>
              <w:t xml:space="preserve"> </w:t>
            </w:r>
          </w:p>
          <w:p w14:paraId="26DC5F5B"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&lt; 150%</w:t>
            </w:r>
            <w:r w:rsidRPr="00767FF8">
              <w:rPr>
                <w:rFonts w:ascii="Times New Roman" w:hAnsi="Times New Roman" w:cs="Times New Roman"/>
                <w:sz w:val="18"/>
                <w:szCs w:val="18"/>
              </w:rPr>
              <w:br/>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w:t>
            </w:r>
          </w:p>
          <w:p w14:paraId="6F42E2D3"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&lt; 125%</w:t>
            </w:r>
          </w:p>
        </w:tc>
        <w:tc>
          <w:tcPr>
            <w:tcW w:w="1031" w:type="pct"/>
            <w:tcBorders>
              <w:top w:val="nil"/>
            </w:tcBorders>
            <w:shd w:val="clear" w:color="auto" w:fill="FFFFFF" w:themeFill="background1"/>
          </w:tcPr>
          <w:p w14:paraId="74049E67"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Average monthly debt service deduction is &lt; 40% of gross FAAC allocation for FY2021</w:t>
            </w:r>
          </w:p>
          <w:p w14:paraId="703DC908" w14:textId="77777777" w:rsidR="004C6756" w:rsidRPr="00767FF8" w:rsidRDefault="004C6756" w:rsidP="00247ACE">
            <w:pPr>
              <w:spacing w:after="120"/>
              <w:rPr>
                <w:rFonts w:ascii="Times New Roman" w:hAnsi="Times New Roman" w:cs="Times New Roman"/>
                <w:sz w:val="18"/>
                <w:szCs w:val="18"/>
              </w:rPr>
            </w:pPr>
            <w:r w:rsidRPr="00767FF8">
              <w:rPr>
                <w:rFonts w:ascii="Times New Roman" w:hAnsi="Times New Roman" w:cs="Times New Roman"/>
                <w:sz w:val="18"/>
                <w:szCs w:val="18"/>
              </w:rPr>
              <w:t>AND</w:t>
            </w:r>
          </w:p>
          <w:p w14:paraId="0D561C3D"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 xml:space="preserve">Total debt stock at end of December 2021 as a share of total revenue for FY 2021 meets target: </w:t>
            </w:r>
          </w:p>
          <w:p w14:paraId="3B860C07"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b/>
                <w:sz w:val="18"/>
                <w:szCs w:val="18"/>
              </w:rPr>
              <w:t>-Basic target:</w:t>
            </w:r>
            <w:r w:rsidRPr="00767FF8">
              <w:rPr>
                <w:rFonts w:ascii="Times New Roman" w:hAnsi="Times New Roman" w:cs="Times New Roman"/>
                <w:sz w:val="18"/>
                <w:szCs w:val="18"/>
              </w:rPr>
              <w:t xml:space="preserve"> </w:t>
            </w:r>
          </w:p>
          <w:p w14:paraId="20884768" w14:textId="77777777" w:rsidR="004C6756" w:rsidRPr="00767FF8" w:rsidRDefault="004C6756" w:rsidP="00247ACE">
            <w:pPr>
              <w:rPr>
                <w:rFonts w:ascii="Times New Roman" w:hAnsi="Times New Roman" w:cs="Times New Roman"/>
                <w:sz w:val="18"/>
                <w:szCs w:val="18"/>
              </w:rPr>
            </w:pPr>
            <w:r w:rsidRPr="00767FF8">
              <w:rPr>
                <w:rFonts w:ascii="Times New Roman" w:hAnsi="Times New Roman" w:cs="Times New Roman"/>
                <w:sz w:val="18"/>
                <w:szCs w:val="18"/>
              </w:rPr>
              <w:t>&lt; 120%</w:t>
            </w:r>
            <w:r w:rsidRPr="00767FF8">
              <w:rPr>
                <w:rFonts w:ascii="Times New Roman" w:hAnsi="Times New Roman" w:cs="Times New Roman"/>
                <w:sz w:val="18"/>
                <w:szCs w:val="18"/>
              </w:rPr>
              <w:br/>
            </w:r>
            <w:r w:rsidRPr="00767FF8">
              <w:rPr>
                <w:rFonts w:ascii="Times New Roman" w:hAnsi="Times New Roman" w:cs="Times New Roman"/>
                <w:b/>
                <w:sz w:val="18"/>
                <w:szCs w:val="18"/>
              </w:rPr>
              <w:t>-Stretch target:</w:t>
            </w:r>
            <w:r w:rsidRPr="00767FF8">
              <w:rPr>
                <w:rFonts w:ascii="Times New Roman" w:hAnsi="Times New Roman" w:cs="Times New Roman"/>
                <w:sz w:val="18"/>
                <w:szCs w:val="18"/>
              </w:rPr>
              <w:t xml:space="preserve"> </w:t>
            </w:r>
          </w:p>
          <w:p w14:paraId="2728129C" w14:textId="77777777" w:rsidR="004C6756" w:rsidRPr="00767FF8" w:rsidRDefault="004C6756" w:rsidP="00247ACE">
            <w:pPr>
              <w:rPr>
                <w:rFonts w:ascii="Times New Roman" w:hAnsi="Times New Roman" w:cs="Times New Roman"/>
                <w:b/>
                <w:sz w:val="18"/>
                <w:szCs w:val="18"/>
              </w:rPr>
            </w:pPr>
            <w:r w:rsidRPr="00767FF8">
              <w:rPr>
                <w:rFonts w:ascii="Times New Roman" w:hAnsi="Times New Roman" w:cs="Times New Roman"/>
                <w:sz w:val="18"/>
                <w:szCs w:val="18"/>
              </w:rPr>
              <w:t>&lt; 95%</w:t>
            </w:r>
          </w:p>
        </w:tc>
      </w:tr>
      <w:tr w:rsidR="004C6756" w:rsidRPr="00767FF8" w14:paraId="1C6AA247" w14:textId="77777777" w:rsidTr="00247ACE">
        <w:trPr>
          <w:trHeight w:val="251"/>
        </w:trPr>
        <w:tc>
          <w:tcPr>
            <w:tcW w:w="866" w:type="pct"/>
          </w:tcPr>
          <w:p w14:paraId="1872151A" w14:textId="77777777" w:rsidR="004C6756" w:rsidRPr="00767FF8" w:rsidRDefault="004C6756" w:rsidP="00247ACE">
            <w:pPr>
              <w:pStyle w:val="ListParagraph"/>
              <w:ind w:left="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DLR 9 Basic value</w:t>
            </w:r>
          </w:p>
        </w:tc>
        <w:tc>
          <w:tcPr>
            <w:tcW w:w="1034" w:type="pct"/>
          </w:tcPr>
          <w:p w14:paraId="6BA04C6D"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c>
          <w:tcPr>
            <w:tcW w:w="1034" w:type="pct"/>
          </w:tcPr>
          <w:p w14:paraId="7FA0E476"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c>
          <w:tcPr>
            <w:tcW w:w="1035" w:type="pct"/>
          </w:tcPr>
          <w:p w14:paraId="5A696E3D"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c>
          <w:tcPr>
            <w:tcW w:w="1031" w:type="pct"/>
          </w:tcPr>
          <w:p w14:paraId="19B6FF3E"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 xml:space="preserve"> $1m per state</w:t>
            </w:r>
          </w:p>
        </w:tc>
      </w:tr>
      <w:tr w:rsidR="004C6756" w:rsidRPr="00767FF8" w14:paraId="666D83DF" w14:textId="77777777" w:rsidTr="00247ACE">
        <w:trPr>
          <w:trHeight w:val="332"/>
        </w:trPr>
        <w:tc>
          <w:tcPr>
            <w:tcW w:w="866" w:type="pct"/>
          </w:tcPr>
          <w:p w14:paraId="41E02C79" w14:textId="77777777" w:rsidR="004C6756" w:rsidRPr="00767FF8" w:rsidRDefault="004C6756" w:rsidP="00247ACE">
            <w:pPr>
              <w:pStyle w:val="ListParagraph"/>
              <w:ind w:left="0"/>
              <w:rPr>
                <w:rFonts w:ascii="Times New Roman" w:hAnsi="Times New Roman" w:cs="Times New Roman"/>
                <w:b/>
                <w:color w:val="C00000"/>
                <w:sz w:val="18"/>
                <w:szCs w:val="18"/>
              </w:rPr>
            </w:pPr>
            <w:r w:rsidRPr="00767FF8">
              <w:rPr>
                <w:rFonts w:ascii="Times New Roman" w:hAnsi="Times New Roman" w:cs="Times New Roman"/>
                <w:i/>
                <w:color w:val="C00000"/>
                <w:sz w:val="18"/>
                <w:szCs w:val="18"/>
              </w:rPr>
              <w:t>DLR 9 Stretch value</w:t>
            </w:r>
          </w:p>
        </w:tc>
        <w:tc>
          <w:tcPr>
            <w:tcW w:w="1034" w:type="pct"/>
          </w:tcPr>
          <w:p w14:paraId="5016FE04"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$1.5m per state</w:t>
            </w:r>
          </w:p>
        </w:tc>
        <w:tc>
          <w:tcPr>
            <w:tcW w:w="1034" w:type="pct"/>
          </w:tcPr>
          <w:p w14:paraId="1D1BB40D"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$1.5m per state</w:t>
            </w:r>
          </w:p>
        </w:tc>
        <w:tc>
          <w:tcPr>
            <w:tcW w:w="1035" w:type="pct"/>
          </w:tcPr>
          <w:p w14:paraId="4AD70CF8"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$1.5m per state</w:t>
            </w:r>
          </w:p>
        </w:tc>
        <w:tc>
          <w:tcPr>
            <w:tcW w:w="1031" w:type="pct"/>
          </w:tcPr>
          <w:p w14:paraId="3719736A" w14:textId="77777777" w:rsidR="004C6756" w:rsidRPr="00767FF8" w:rsidRDefault="004C6756" w:rsidP="00247ACE">
            <w:pPr>
              <w:spacing w:after="120"/>
              <w:rPr>
                <w:rFonts w:ascii="Times New Roman" w:hAnsi="Times New Roman" w:cs="Times New Roman"/>
                <w:i/>
                <w:color w:val="C00000"/>
                <w:sz w:val="18"/>
                <w:szCs w:val="18"/>
              </w:rPr>
            </w:pPr>
            <w:r w:rsidRPr="00767FF8">
              <w:rPr>
                <w:rFonts w:ascii="Times New Roman" w:hAnsi="Times New Roman" w:cs="Times New Roman"/>
                <w:i/>
                <w:color w:val="C00000"/>
                <w:sz w:val="18"/>
                <w:szCs w:val="18"/>
              </w:rPr>
              <w:t>$1.5m per state</w:t>
            </w:r>
          </w:p>
        </w:tc>
      </w:tr>
      <w:bookmarkEnd w:id="1"/>
    </w:tbl>
    <w:p w14:paraId="1268DE1A"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5C1D47FC" w14:textId="77777777" w:rsidR="004C6756" w:rsidRDefault="004C6756" w:rsidP="004C6756">
      <w:pPr>
        <w:widowControl w:val="0"/>
        <w:autoSpaceDE w:val="0"/>
        <w:autoSpaceDN w:val="0"/>
        <w:spacing w:after="0" w:line="276" w:lineRule="auto"/>
        <w:ind w:right="380"/>
        <w:outlineLvl w:val="1"/>
        <w:rPr>
          <w:rFonts w:ascii="Candara" w:eastAsia="Candara" w:hAnsi="Candara" w:cs="Candara"/>
          <w:b/>
          <w:iCs/>
          <w:color w:val="2E74B5" w:themeColor="accent5" w:themeShade="BF"/>
          <w:sz w:val="24"/>
          <w:lang w:bidi="en-US"/>
        </w:rPr>
      </w:pPr>
    </w:p>
    <w:p w14:paraId="6A5F85C1" w14:textId="77777777" w:rsidR="004C6756" w:rsidRDefault="004C6756" w:rsidP="004C6756">
      <w:pPr>
        <w:widowControl w:val="0"/>
        <w:autoSpaceDE w:val="0"/>
        <w:autoSpaceDN w:val="0"/>
        <w:spacing w:after="0" w:line="276" w:lineRule="auto"/>
        <w:ind w:right="380"/>
        <w:outlineLvl w:val="1"/>
        <w:rPr>
          <w:rFonts w:ascii="Candara" w:eastAsia="Candara" w:hAnsi="Candara" w:cs="Candara"/>
          <w:b/>
          <w:iCs/>
          <w:color w:val="2E74B5" w:themeColor="accent5" w:themeShade="BF"/>
          <w:sz w:val="24"/>
          <w:lang w:bidi="en-US"/>
        </w:rPr>
      </w:pPr>
    </w:p>
    <w:p w14:paraId="6D9B3CF0"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r>
        <w:rPr>
          <w:rFonts w:ascii="Candara" w:eastAsia="Candara" w:hAnsi="Candara" w:cs="Candara"/>
          <w:lang w:bidi="en-US"/>
        </w:rPr>
        <w:t>Summary of SFTAS Fiscal Reform Status</w:t>
      </w:r>
    </w:p>
    <w:p w14:paraId="777DBEBE"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2E0B6D18"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0765051E"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r>
        <w:rPr>
          <w:rFonts w:ascii="Candara" w:eastAsia="Candara" w:hAnsi="Candara" w:cs="Candara"/>
          <w:noProof/>
          <w:lang w:bidi="en-US"/>
        </w:rPr>
        <w:drawing>
          <wp:inline distT="0" distB="0" distL="0" distR="0" wp14:anchorId="38D0EDB6" wp14:editId="423C3270">
            <wp:extent cx="6790671" cy="357758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7054" cy="3602016"/>
                    </a:xfrm>
                    <a:prstGeom prst="rect">
                      <a:avLst/>
                    </a:prstGeom>
                    <a:noFill/>
                  </pic:spPr>
                </pic:pic>
              </a:graphicData>
            </a:graphic>
          </wp:inline>
        </w:drawing>
      </w:r>
    </w:p>
    <w:p w14:paraId="498209BE"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1CBCA08E" w14:textId="77777777" w:rsidR="004C6756" w:rsidRDefault="004C6756" w:rsidP="004C6756">
      <w:pPr>
        <w:widowControl w:val="0"/>
        <w:autoSpaceDE w:val="0"/>
        <w:autoSpaceDN w:val="0"/>
        <w:spacing w:after="0" w:line="276" w:lineRule="auto"/>
        <w:jc w:val="both"/>
        <w:rPr>
          <w:rFonts w:ascii="Candara" w:eastAsia="Candara" w:hAnsi="Candara" w:cs="Candara"/>
          <w:lang w:bidi="en-US"/>
        </w:rPr>
      </w:pPr>
    </w:p>
    <w:p w14:paraId="0B683BF5" w14:textId="77777777" w:rsidR="004C6756" w:rsidRPr="008A505C" w:rsidRDefault="004C6756" w:rsidP="004C6756">
      <w:pPr>
        <w:widowControl w:val="0"/>
        <w:autoSpaceDE w:val="0"/>
        <w:autoSpaceDN w:val="0"/>
        <w:spacing w:after="0" w:line="276" w:lineRule="auto"/>
        <w:jc w:val="both"/>
        <w:rPr>
          <w:rFonts w:ascii="Candara" w:eastAsia="Candara" w:hAnsi="Candara" w:cs="Candara"/>
          <w:lang w:bidi="en-US"/>
        </w:rPr>
        <w:sectPr w:rsidR="004C6756" w:rsidRPr="008A505C" w:rsidSect="00BD046B">
          <w:pgSz w:w="12240" w:h="15840"/>
          <w:pgMar w:top="1038" w:right="720" w:bottom="1242" w:left="697" w:header="0" w:footer="981" w:gutter="0"/>
          <w:cols w:space="720"/>
        </w:sectPr>
      </w:pPr>
      <w:r>
        <w:rPr>
          <w:noProof/>
        </w:rPr>
        <w:lastRenderedPageBreak/>
        <w:drawing>
          <wp:inline distT="0" distB="0" distL="0" distR="0" wp14:anchorId="1A67CBEE" wp14:editId="1B0729C1">
            <wp:extent cx="7179660" cy="4038600"/>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7183035" cy="4040499"/>
                    </a:xfrm>
                    <a:prstGeom prst="rect">
                      <a:avLst/>
                    </a:prstGeom>
                  </pic:spPr>
                </pic:pic>
              </a:graphicData>
            </a:graphic>
          </wp:inline>
        </w:drawing>
      </w:r>
    </w:p>
    <w:p w14:paraId="4CB23B5F" w14:textId="77777777" w:rsidR="00BF50E3" w:rsidRDefault="00000000"/>
    <w:sectPr w:rsidR="00BF50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84E0E"/>
    <w:multiLevelType w:val="hybridMultilevel"/>
    <w:tmpl w:val="83E2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582E4F"/>
    <w:multiLevelType w:val="hybridMultilevel"/>
    <w:tmpl w:val="983A4E30"/>
    <w:lvl w:ilvl="0" w:tplc="1E90FE4E">
      <w:start w:val="1"/>
      <w:numFmt w:val="bullet"/>
      <w:lvlText w:val="o"/>
      <w:lvlJc w:val="left"/>
      <w:pPr>
        <w:tabs>
          <w:tab w:val="num" w:pos="720"/>
        </w:tabs>
        <w:ind w:left="720" w:hanging="360"/>
      </w:pPr>
      <w:rPr>
        <w:rFonts w:ascii="Courier New" w:hAnsi="Courier New" w:hint="default"/>
      </w:rPr>
    </w:lvl>
    <w:lvl w:ilvl="1" w:tplc="9D928188">
      <w:numFmt w:val="bullet"/>
      <w:lvlText w:val="o"/>
      <w:lvlJc w:val="left"/>
      <w:pPr>
        <w:tabs>
          <w:tab w:val="num" w:pos="1440"/>
        </w:tabs>
        <w:ind w:left="1440" w:hanging="360"/>
      </w:pPr>
      <w:rPr>
        <w:rFonts w:ascii="Courier New" w:hAnsi="Courier New" w:hint="default"/>
      </w:rPr>
    </w:lvl>
    <w:lvl w:ilvl="2" w:tplc="B0A8A002" w:tentative="1">
      <w:start w:val="1"/>
      <w:numFmt w:val="bullet"/>
      <w:lvlText w:val="o"/>
      <w:lvlJc w:val="left"/>
      <w:pPr>
        <w:tabs>
          <w:tab w:val="num" w:pos="2160"/>
        </w:tabs>
        <w:ind w:left="2160" w:hanging="360"/>
      </w:pPr>
      <w:rPr>
        <w:rFonts w:ascii="Courier New" w:hAnsi="Courier New" w:hint="default"/>
      </w:rPr>
    </w:lvl>
    <w:lvl w:ilvl="3" w:tplc="F4F2A216" w:tentative="1">
      <w:start w:val="1"/>
      <w:numFmt w:val="bullet"/>
      <w:lvlText w:val="o"/>
      <w:lvlJc w:val="left"/>
      <w:pPr>
        <w:tabs>
          <w:tab w:val="num" w:pos="2880"/>
        </w:tabs>
        <w:ind w:left="2880" w:hanging="360"/>
      </w:pPr>
      <w:rPr>
        <w:rFonts w:ascii="Courier New" w:hAnsi="Courier New" w:hint="default"/>
      </w:rPr>
    </w:lvl>
    <w:lvl w:ilvl="4" w:tplc="AEF213A2" w:tentative="1">
      <w:start w:val="1"/>
      <w:numFmt w:val="bullet"/>
      <w:lvlText w:val="o"/>
      <w:lvlJc w:val="left"/>
      <w:pPr>
        <w:tabs>
          <w:tab w:val="num" w:pos="3600"/>
        </w:tabs>
        <w:ind w:left="3600" w:hanging="360"/>
      </w:pPr>
      <w:rPr>
        <w:rFonts w:ascii="Courier New" w:hAnsi="Courier New" w:hint="default"/>
      </w:rPr>
    </w:lvl>
    <w:lvl w:ilvl="5" w:tplc="72A6B93E" w:tentative="1">
      <w:start w:val="1"/>
      <w:numFmt w:val="bullet"/>
      <w:lvlText w:val="o"/>
      <w:lvlJc w:val="left"/>
      <w:pPr>
        <w:tabs>
          <w:tab w:val="num" w:pos="4320"/>
        </w:tabs>
        <w:ind w:left="4320" w:hanging="360"/>
      </w:pPr>
      <w:rPr>
        <w:rFonts w:ascii="Courier New" w:hAnsi="Courier New" w:hint="default"/>
      </w:rPr>
    </w:lvl>
    <w:lvl w:ilvl="6" w:tplc="27B4984C" w:tentative="1">
      <w:start w:val="1"/>
      <w:numFmt w:val="bullet"/>
      <w:lvlText w:val="o"/>
      <w:lvlJc w:val="left"/>
      <w:pPr>
        <w:tabs>
          <w:tab w:val="num" w:pos="5040"/>
        </w:tabs>
        <w:ind w:left="5040" w:hanging="360"/>
      </w:pPr>
      <w:rPr>
        <w:rFonts w:ascii="Courier New" w:hAnsi="Courier New" w:hint="default"/>
      </w:rPr>
    </w:lvl>
    <w:lvl w:ilvl="7" w:tplc="0A6629E0" w:tentative="1">
      <w:start w:val="1"/>
      <w:numFmt w:val="bullet"/>
      <w:lvlText w:val="o"/>
      <w:lvlJc w:val="left"/>
      <w:pPr>
        <w:tabs>
          <w:tab w:val="num" w:pos="5760"/>
        </w:tabs>
        <w:ind w:left="5760" w:hanging="360"/>
      </w:pPr>
      <w:rPr>
        <w:rFonts w:ascii="Courier New" w:hAnsi="Courier New" w:hint="default"/>
      </w:rPr>
    </w:lvl>
    <w:lvl w:ilvl="8" w:tplc="ED440B64" w:tentative="1">
      <w:start w:val="1"/>
      <w:numFmt w:val="bullet"/>
      <w:lvlText w:val="o"/>
      <w:lvlJc w:val="left"/>
      <w:pPr>
        <w:tabs>
          <w:tab w:val="num" w:pos="6480"/>
        </w:tabs>
        <w:ind w:left="6480" w:hanging="360"/>
      </w:pPr>
      <w:rPr>
        <w:rFonts w:ascii="Courier New" w:hAnsi="Courier New" w:hint="default"/>
      </w:rPr>
    </w:lvl>
  </w:abstractNum>
  <w:num w:numId="1" w16cid:durableId="2094546655">
    <w:abstractNumId w:val="1"/>
  </w:num>
  <w:num w:numId="2" w16cid:durableId="968167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756"/>
    <w:rsid w:val="00047421"/>
    <w:rsid w:val="004C6756"/>
    <w:rsid w:val="00E84239"/>
    <w:rsid w:val="00EC4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9929"/>
  <w15:chartTrackingRefBased/>
  <w15:docId w15:val="{147326D6-8A1A-47A9-A3F1-42BA431B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7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Bullets,References,Numbered List Paragraph,List Paragraph (numbered (a)),List Paragraph nowy,Liste 1,Numbered Paragraph,Main numbered paragraph,123 List Paragraph,List_Paragraph,Multilevel para_II,List Paragraph1,Bullet paras,Body,lp1"/>
    <w:basedOn w:val="Normal"/>
    <w:link w:val="ListParagraphChar"/>
    <w:uiPriority w:val="34"/>
    <w:qFormat/>
    <w:rsid w:val="004C6756"/>
    <w:pPr>
      <w:widowControl w:val="0"/>
      <w:autoSpaceDE w:val="0"/>
      <w:autoSpaceDN w:val="0"/>
      <w:spacing w:after="0" w:line="240" w:lineRule="auto"/>
      <w:ind w:left="1460" w:hanging="360"/>
    </w:pPr>
    <w:rPr>
      <w:rFonts w:ascii="Candara" w:eastAsia="Candara" w:hAnsi="Candara" w:cs="Candara"/>
      <w:lang w:bidi="en-US"/>
    </w:rPr>
  </w:style>
  <w:style w:type="table" w:styleId="TableGrid">
    <w:name w:val="Table Grid"/>
    <w:aliases w:val="Table Grid CFAA,Table Garamond,Document Table,TabelEcorys,Table style,Table long document,mtbs"/>
    <w:basedOn w:val="TableNormal"/>
    <w:uiPriority w:val="59"/>
    <w:qFormat/>
    <w:rsid w:val="004C675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 Char,Bullets Char,References Char,Numbered List Paragraph Char,List Paragraph (numbered (a)) Char,List Paragraph nowy Char,Liste 1 Char,Numbered Paragraph Char,Main numbered paragraph Char,123 List Paragraph Char,Bullet paras Char"/>
    <w:link w:val="ListParagraph"/>
    <w:uiPriority w:val="34"/>
    <w:qFormat/>
    <w:locked/>
    <w:rsid w:val="004C6756"/>
    <w:rPr>
      <w:rFonts w:ascii="Candara" w:eastAsia="Candara" w:hAnsi="Candara" w:cs="Candar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2336</Words>
  <Characters>12243</Characters>
  <Application>Microsoft Office Word</Application>
  <DocSecurity>0</DocSecurity>
  <Lines>644</Lines>
  <Paragraphs>231</Paragraphs>
  <ScaleCrop>false</ScaleCrop>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Usman</dc:creator>
  <cp:keywords/>
  <dc:description/>
  <cp:lastModifiedBy>Musa Usman</cp:lastModifiedBy>
  <cp:revision>1</cp:revision>
  <dcterms:created xsi:type="dcterms:W3CDTF">2022-11-04T11:52:00Z</dcterms:created>
  <dcterms:modified xsi:type="dcterms:W3CDTF">2022-11-04T11:53:00Z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1fed8b89-d3f1-46c9-98da-e386806901f3</vt:lpwstr>
  </property>
</Properties>
</file>